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val="0"/>
          <w:i w:val="0"/>
          <w:caps w:val="0"/>
          <w:color w:val="191F25"/>
          <w:spacing w:val="0"/>
          <w:sz w:val="44"/>
          <w:szCs w:val="44"/>
          <w:shd w:val="clear" w:fill="FFFFFF"/>
          <w:lang w:eastAsia="zh-CN"/>
        </w:rPr>
        <w:t>温州市</w:t>
      </w:r>
      <w:r>
        <w:rPr>
          <w:rFonts w:hint="eastAsia" w:asciiTheme="minorEastAsia" w:hAnsiTheme="minorEastAsia" w:eastAsiaTheme="minorEastAsia" w:cstheme="minorEastAsia"/>
          <w:sz w:val="44"/>
          <w:szCs w:val="44"/>
        </w:rPr>
        <w:t>《建设工程造价咨询合同（示范文本）</w:t>
      </w:r>
      <w:r>
        <w:rPr>
          <w:rFonts w:hint="eastAsia" w:asciiTheme="minorEastAsia" w:hAnsiTheme="minorEastAsia" w:eastAsiaTheme="minorEastAsia" w:cstheme="minorEastAsia"/>
          <w:sz w:val="44"/>
          <w:szCs w:val="44"/>
          <w:lang w:eastAsia="zh-CN"/>
        </w:rPr>
        <w:t>》</w:t>
      </w:r>
      <w:r>
        <w:rPr>
          <w:rFonts w:hint="eastAsia" w:asciiTheme="minorEastAsia" w:hAnsiTheme="minorEastAsia" w:eastAsiaTheme="minorEastAsia" w:cstheme="minorEastAsia"/>
          <w:sz w:val="44"/>
          <w:szCs w:val="44"/>
        </w:rPr>
        <w:t>（GF-2015-0212）</w:t>
      </w:r>
    </w:p>
    <w:p>
      <w:pPr>
        <w:spacing w:line="360" w:lineRule="auto"/>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签订指南</w:t>
      </w:r>
    </w:p>
    <w:p>
      <w:pPr>
        <w:spacing w:line="360" w:lineRule="auto"/>
        <w:jc w:val="center"/>
        <w:rPr>
          <w:rFonts w:hint="eastAsia" w:asciiTheme="minorEastAsia" w:hAnsiTheme="minorEastAsia" w:eastAsiaTheme="minorEastAsia" w:cstheme="minorEastAsia"/>
          <w:sz w:val="30"/>
          <w:szCs w:val="30"/>
          <w:lang w:eastAsia="zh-CN"/>
        </w:rPr>
      </w:pPr>
    </w:p>
    <w:p>
      <w:pPr>
        <w:spacing w:line="360" w:lineRule="auto"/>
        <w:ind w:firstLine="560"/>
        <w:rPr>
          <w:rFonts w:hint="eastAsia" w:ascii="仿宋" w:hAnsi="仿宋" w:eastAsia="仿宋" w:cs="仿宋"/>
          <w:sz w:val="32"/>
          <w:szCs w:val="32"/>
        </w:rPr>
      </w:pPr>
      <w:r>
        <w:rPr>
          <w:rFonts w:hint="eastAsia" w:ascii="仿宋" w:hAnsi="仿宋" w:eastAsia="仿宋" w:cs="仿宋"/>
          <w:b w:val="0"/>
          <w:i w:val="0"/>
          <w:caps w:val="0"/>
          <w:color w:val="191F25"/>
          <w:spacing w:val="0"/>
          <w:sz w:val="32"/>
          <w:szCs w:val="32"/>
          <w:shd w:val="clear" w:fill="FFFFFF"/>
          <w:lang w:eastAsia="zh-CN"/>
        </w:rPr>
        <w:t>《温州市</w:t>
      </w:r>
      <w:r>
        <w:rPr>
          <w:rFonts w:hint="eastAsia" w:ascii="仿宋" w:hAnsi="仿宋" w:eastAsia="仿宋" w:cs="仿宋"/>
          <w:sz w:val="32"/>
          <w:szCs w:val="32"/>
          <w:lang w:val="en-US" w:eastAsia="zh-CN"/>
        </w:rPr>
        <w:t>&lt;</w:t>
      </w:r>
      <w:r>
        <w:rPr>
          <w:rFonts w:hint="eastAsia" w:ascii="仿宋" w:hAnsi="仿宋" w:eastAsia="仿宋" w:cs="仿宋"/>
          <w:sz w:val="32"/>
          <w:szCs w:val="32"/>
        </w:rPr>
        <w:t>建设工程造价咨询合同（示范文本）</w:t>
      </w:r>
      <w:r>
        <w:rPr>
          <w:rFonts w:hint="eastAsia" w:ascii="仿宋" w:hAnsi="仿宋" w:eastAsia="仿宋" w:cs="仿宋"/>
          <w:sz w:val="32"/>
          <w:szCs w:val="32"/>
          <w:lang w:val="en-US" w:eastAsia="zh-CN"/>
        </w:rPr>
        <w:t>&gt;</w:t>
      </w:r>
      <w:r>
        <w:rPr>
          <w:rFonts w:hint="eastAsia" w:ascii="仿宋" w:hAnsi="仿宋" w:eastAsia="仿宋" w:cs="仿宋"/>
          <w:sz w:val="32"/>
          <w:szCs w:val="32"/>
        </w:rPr>
        <w:t>（GF-2015-0212）</w:t>
      </w:r>
      <w:r>
        <w:rPr>
          <w:rFonts w:hint="eastAsia" w:ascii="仿宋" w:hAnsi="仿宋" w:eastAsia="仿宋" w:cs="仿宋"/>
          <w:sz w:val="32"/>
          <w:szCs w:val="32"/>
          <w:lang w:eastAsia="zh-CN"/>
        </w:rPr>
        <w:t>签订指南》</w:t>
      </w:r>
      <w:r>
        <w:rPr>
          <w:rFonts w:hint="eastAsia" w:ascii="仿宋" w:hAnsi="仿宋" w:eastAsia="仿宋" w:cs="仿宋"/>
          <w:sz w:val="32"/>
          <w:szCs w:val="32"/>
        </w:rPr>
        <w:t>共分两部分，一是文字说明部分，是提示造价咨询签约各方加强沟通，重视条款制定表述的严谨性和客观性。避免出现由于表述不清造成的纠纷与扯皮，合理考虑咨询合同双方的风险承受能力。二是文本部分，以造价咨询合同专用条款参考范本的形式提供，为双方签订合同提供参考意见，从源头上保证建设工程造价咨询合同签约的公平性和促进合同履约可执行性。</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文字</w:t>
      </w:r>
      <w:r>
        <w:rPr>
          <w:rFonts w:hint="eastAsia" w:ascii="仿宋" w:hAnsi="仿宋" w:eastAsia="仿宋" w:cs="仿宋"/>
          <w:b/>
          <w:bCs/>
          <w:sz w:val="32"/>
          <w:szCs w:val="32"/>
          <w:lang w:val="en-US" w:eastAsia="zh-CN"/>
        </w:rPr>
        <w:t>说明</w:t>
      </w:r>
      <w:r>
        <w:rPr>
          <w:rFonts w:hint="eastAsia" w:ascii="仿宋" w:hAnsi="仿宋" w:eastAsia="仿宋" w:cs="仿宋"/>
          <w:b/>
          <w:bCs/>
          <w:sz w:val="32"/>
          <w:szCs w:val="32"/>
        </w:rPr>
        <w:t>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文字说明部分主要是对</w:t>
      </w:r>
      <w:r>
        <w:rPr>
          <w:rFonts w:hint="eastAsia" w:ascii="仿宋" w:hAnsi="仿宋" w:eastAsia="仿宋" w:cs="仿宋"/>
          <w:sz w:val="32"/>
          <w:szCs w:val="32"/>
        </w:rPr>
        <w:t>建设工程造价咨询合同签订</w:t>
      </w:r>
      <w:r>
        <w:rPr>
          <w:rFonts w:hint="eastAsia" w:ascii="仿宋" w:hAnsi="仿宋" w:eastAsia="仿宋" w:cs="仿宋"/>
          <w:sz w:val="32"/>
          <w:szCs w:val="32"/>
          <w:lang w:val="en-US" w:eastAsia="zh-CN"/>
        </w:rPr>
        <w:t>进行</w:t>
      </w:r>
      <w:r>
        <w:rPr>
          <w:rFonts w:hint="eastAsia" w:ascii="仿宋" w:hAnsi="仿宋" w:eastAsia="仿宋" w:cs="仿宋"/>
          <w:sz w:val="32"/>
          <w:szCs w:val="32"/>
        </w:rPr>
        <w:t>条款性提示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强调</w:t>
      </w:r>
      <w:r>
        <w:rPr>
          <w:rFonts w:hint="eastAsia" w:ascii="仿宋" w:hAnsi="仿宋" w:eastAsia="仿宋" w:cs="仿宋"/>
          <w:sz w:val="32"/>
          <w:szCs w:val="32"/>
        </w:rPr>
        <w:t>重视具体项目合同签订阶段的谈判工作，</w:t>
      </w:r>
      <w:r>
        <w:rPr>
          <w:rFonts w:hint="eastAsia" w:ascii="仿宋" w:hAnsi="仿宋" w:eastAsia="仿宋" w:cs="仿宋"/>
          <w:sz w:val="32"/>
          <w:szCs w:val="32"/>
          <w:lang w:val="en-US" w:eastAsia="zh-CN"/>
        </w:rPr>
        <w:t>要求既</w:t>
      </w:r>
      <w:r>
        <w:rPr>
          <w:rFonts w:hint="eastAsia" w:ascii="仿宋" w:hAnsi="仿宋" w:eastAsia="仿宋" w:cs="仿宋"/>
          <w:sz w:val="32"/>
          <w:szCs w:val="32"/>
        </w:rPr>
        <w:t>避免无效的工作投入或增加</w:t>
      </w:r>
      <w:r>
        <w:rPr>
          <w:rFonts w:hint="eastAsia" w:ascii="仿宋" w:hAnsi="仿宋" w:eastAsia="仿宋" w:cs="仿宋"/>
          <w:sz w:val="32"/>
          <w:szCs w:val="32"/>
          <w:lang w:val="en-US" w:eastAsia="zh-CN"/>
        </w:rPr>
        <w:t>不必要的</w:t>
      </w:r>
      <w:r>
        <w:rPr>
          <w:rFonts w:hint="eastAsia" w:ascii="仿宋" w:hAnsi="仿宋" w:eastAsia="仿宋" w:cs="仿宋"/>
          <w:sz w:val="32"/>
          <w:szCs w:val="32"/>
        </w:rPr>
        <w:t>工作量，又避免无原则地减少工作，造成工作不到位。</w:t>
      </w:r>
      <w:r>
        <w:rPr>
          <w:rFonts w:hint="eastAsia" w:ascii="仿宋" w:hAnsi="仿宋" w:eastAsia="仿宋" w:cs="仿宋"/>
          <w:sz w:val="32"/>
          <w:szCs w:val="32"/>
          <w:lang w:val="en-US" w:eastAsia="zh-CN"/>
        </w:rPr>
        <w:t>同时</w:t>
      </w:r>
      <w:r>
        <w:rPr>
          <w:rFonts w:hint="eastAsia" w:ascii="仿宋" w:hAnsi="仿宋" w:eastAsia="仿宋" w:cs="仿宋"/>
          <w:sz w:val="32"/>
          <w:szCs w:val="32"/>
        </w:rPr>
        <w:t>关注合同签订及履行过程中</w:t>
      </w:r>
      <w:r>
        <w:rPr>
          <w:rFonts w:hint="eastAsia" w:ascii="仿宋" w:hAnsi="仿宋" w:eastAsia="仿宋" w:cs="仿宋"/>
          <w:sz w:val="32"/>
          <w:szCs w:val="32"/>
          <w:lang w:val="en-US" w:eastAsia="zh-CN"/>
        </w:rPr>
        <w:t>容易产生</w:t>
      </w:r>
      <w:r>
        <w:rPr>
          <w:rFonts w:hint="eastAsia" w:ascii="仿宋" w:hAnsi="仿宋" w:eastAsia="仿宋" w:cs="仿宋"/>
          <w:sz w:val="32"/>
          <w:szCs w:val="32"/>
        </w:rPr>
        <w:t>争议之处，力求表述清晰。</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工作内容</w:t>
      </w:r>
      <w:r>
        <w:rPr>
          <w:rFonts w:hint="eastAsia" w:ascii="仿宋" w:hAnsi="仿宋" w:eastAsia="仿宋" w:cs="仿宋"/>
          <w:b/>
          <w:bCs/>
          <w:sz w:val="32"/>
          <w:szCs w:val="32"/>
          <w:lang w:val="en-US" w:eastAsia="zh-CN"/>
        </w:rPr>
        <w:t>部分</w:t>
      </w:r>
    </w:p>
    <w:p>
      <w:pPr>
        <w:spacing w:line="360" w:lineRule="auto"/>
        <w:ind w:firstLine="570"/>
        <w:rPr>
          <w:rFonts w:hint="eastAsia" w:ascii="仿宋" w:hAnsi="仿宋" w:eastAsia="仿宋" w:cs="仿宋"/>
          <w:b/>
          <w:bCs/>
          <w:color w:val="000000"/>
          <w:sz w:val="32"/>
          <w:szCs w:val="32"/>
        </w:rPr>
      </w:pPr>
      <w:r>
        <w:rPr>
          <w:rFonts w:hint="eastAsia" w:ascii="仿宋" w:hAnsi="仿宋" w:eastAsia="仿宋" w:cs="仿宋"/>
          <w:sz w:val="32"/>
          <w:szCs w:val="32"/>
        </w:rPr>
        <w:t>明确各项建设工程造价咨询业务的服务范围</w:t>
      </w:r>
      <w:r>
        <w:rPr>
          <w:rFonts w:hint="eastAsia" w:ascii="仿宋" w:hAnsi="仿宋" w:eastAsia="仿宋" w:cs="仿宋"/>
          <w:sz w:val="32"/>
          <w:szCs w:val="32"/>
          <w:lang w:eastAsia="zh-CN"/>
        </w:rPr>
        <w:t>、</w:t>
      </w:r>
      <w:r>
        <w:rPr>
          <w:rFonts w:hint="eastAsia" w:ascii="仿宋" w:hAnsi="仿宋" w:eastAsia="仿宋" w:cs="仿宋"/>
          <w:sz w:val="32"/>
          <w:szCs w:val="32"/>
        </w:rPr>
        <w:t>工作</w:t>
      </w:r>
      <w:r>
        <w:rPr>
          <w:rFonts w:hint="eastAsia" w:ascii="仿宋" w:hAnsi="仿宋" w:eastAsia="仿宋" w:cs="仿宋"/>
          <w:sz w:val="32"/>
          <w:szCs w:val="32"/>
          <w:lang w:val="en-US" w:eastAsia="zh-CN"/>
        </w:rPr>
        <w:t>基本</w:t>
      </w:r>
      <w:r>
        <w:rPr>
          <w:rFonts w:hint="eastAsia" w:ascii="仿宋" w:hAnsi="仿宋" w:eastAsia="仿宋" w:cs="仿宋"/>
          <w:sz w:val="32"/>
          <w:szCs w:val="32"/>
        </w:rPr>
        <w:t>内容</w:t>
      </w:r>
      <w:r>
        <w:rPr>
          <w:rFonts w:hint="eastAsia" w:ascii="仿宋" w:hAnsi="仿宋" w:eastAsia="仿宋" w:cs="仿宋"/>
          <w:sz w:val="32"/>
          <w:szCs w:val="32"/>
          <w:lang w:val="en-US" w:eastAsia="zh-CN"/>
        </w:rPr>
        <w:t>和</w:t>
      </w:r>
      <w:r>
        <w:rPr>
          <w:rFonts w:hint="eastAsia" w:ascii="仿宋" w:hAnsi="仿宋" w:eastAsia="仿宋" w:cs="仿宋"/>
          <w:color w:val="000000"/>
          <w:sz w:val="32"/>
          <w:szCs w:val="32"/>
        </w:rPr>
        <w:t>可选额外工作内容</w:t>
      </w:r>
      <w:r>
        <w:rPr>
          <w:rFonts w:hint="eastAsia" w:ascii="仿宋" w:hAnsi="仿宋" w:eastAsia="仿宋" w:cs="仿宋"/>
          <w:sz w:val="32"/>
          <w:szCs w:val="32"/>
        </w:rPr>
        <w:t>。明确委托的具体专业内容是否包括所有专业性分包的内容（包括甲方自行分包的专业工程和甲</w:t>
      </w:r>
      <w:r>
        <w:rPr>
          <w:rFonts w:hint="eastAsia" w:ascii="仿宋" w:hAnsi="仿宋" w:eastAsia="仿宋" w:cs="仿宋"/>
          <w:color w:val="000000"/>
          <w:sz w:val="32"/>
          <w:szCs w:val="32"/>
        </w:rPr>
        <w:t>供材料及设备）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并对容易引起歧义的部分进行提示。</w:t>
      </w:r>
      <w:r>
        <w:rPr>
          <w:rFonts w:hint="eastAsia" w:ascii="仿宋" w:hAnsi="仿宋" w:eastAsia="仿宋" w:cs="仿宋"/>
          <w:b/>
          <w:bCs/>
          <w:color w:val="000000"/>
          <w:sz w:val="32"/>
          <w:szCs w:val="32"/>
        </w:rPr>
        <w:t>委托人选择额外服务内容的，应在“附录A的其他”中列明并约定增加酬金。</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1.1估算、概算工作内容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基本工作内容：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①明确工程内容、范围、规模、定位等；</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②编制或审核工程（估）概算；</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③提出合理化建议参与部门组织的评审会议；</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④根据评审意见，完善（估）概算文件，出具报告。</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可选额外工作内容：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①计算并分析主要技术经济指标；</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②分析设计方案的优缺点，提出合理化建议；</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③多方案概算的编制和比选；</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④多阶段概算的编制（初步设计阶段、扩大初步设计阶段）；</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⑤概算超过估算后的调整；</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⑥限额设计目标分解；</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⑦新材料、新工艺、新技术性价比分析。</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1.2预算（含工程量清单及招标控制价的编制）工作内容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基本工作内容：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①现场踏勘，合理确定相关技术措施费；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②对编制依据提出专业意见（分析招标文件的造价相关条款发表专业建议，提出设计图纸与造价 相关的错、漏、碰、缺）；</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③明确编制范围、标段及专业内容；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④列出主要材料（设备）的参考品牌、规格及型号，并注明哪些是无价材料，协助建设单位确定价格；</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⑤缺项子目的依据补充；</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⑥确定各项费率；</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⑦造价核对（如有）；</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⑧按要求出具成果报告。</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可选额外工作内容：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①造价偏差分析并提供分析报告（比对设计概算、分析偏差原因，根据偏差原因及委托人要求，调整或重新编制咨询成果）；</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②清标分析并提供分析报告（不同子目间不平衡报价分析、异常单价的组价分析）。</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注：预算时对于设计变更联系单原则上不计入预算造价中（联系单变更部分应另行约定），根据招标文件中的依据性文件，无法确定价格的材料按照暂估价计入预算造价中等。</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1.3.结算工作内容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基本工作内容：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①资料完整性、有效性、合法性审核；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②现场踏勘（合同承包范围内的内容是否完成、工程实体表观与竣工图纸的一致性、临时设施和建筑垃圾的清除情况、周边的场地被借用的恢复情况）；</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③量、价、费审核；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④按合同要求计算奖罚金；</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⑤建设单位支付的水电费用结算；</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⑥甲供材料费用的计算；</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⑦总承包服务费审核；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⑧总分包单位交叉界面费用审核；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⑨合同相关其他内容的审核；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⑩索赔金额审核；</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EQ \o\ac(</w:instrText>
      </w:r>
      <w:r>
        <w:rPr>
          <w:rFonts w:hint="eastAsia" w:ascii="仿宋" w:hAnsi="仿宋" w:eastAsia="仿宋" w:cs="仿宋"/>
          <w:color w:val="000000"/>
          <w:position w:val="-6"/>
          <w:sz w:val="48"/>
          <w:szCs w:val="32"/>
        </w:rPr>
        <w:instrText xml:space="preserve">○</w:instrText>
      </w:r>
      <w:r>
        <w:rPr>
          <w:rFonts w:hint="eastAsia" w:ascii="仿宋" w:hAnsi="仿宋" w:eastAsia="仿宋" w:cs="仿宋"/>
          <w:color w:val="000000"/>
          <w:position w:val="0"/>
          <w:sz w:val="32"/>
          <w:szCs w:val="32"/>
        </w:rPr>
        <w:instrText xml:space="preserve">,11)</w:instrTex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按要求出具审核报告。</w:t>
      </w:r>
    </w:p>
    <w:p>
      <w:pPr>
        <w:spacing w:line="360" w:lineRule="auto"/>
        <w:ind w:firstLine="57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可选额外工作内容：</w:t>
      </w:r>
    </w:p>
    <w:p>
      <w:pPr>
        <w:spacing w:line="360" w:lineRule="auto"/>
        <w:ind w:firstLine="57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①计算并分析主要工程经济指标；</w:t>
      </w:r>
    </w:p>
    <w:p>
      <w:pPr>
        <w:spacing w:line="360" w:lineRule="auto"/>
        <w:ind w:firstLine="57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②提出对工程造价管理的建议；</w:t>
      </w:r>
    </w:p>
    <w:p>
      <w:pPr>
        <w:spacing w:line="360" w:lineRule="auto"/>
        <w:ind w:firstLine="570"/>
        <w:rPr>
          <w:rFonts w:hint="eastAsia" w:ascii="仿宋" w:hAnsi="仿宋" w:eastAsia="仿宋" w:cs="仿宋"/>
          <w:b w:val="0"/>
          <w:bCs w:val="0"/>
          <w:color w:val="000000"/>
          <w:sz w:val="32"/>
          <w:szCs w:val="32"/>
        </w:rPr>
      </w:pPr>
      <w:r>
        <w:rPr>
          <w:rFonts w:hint="eastAsia" w:ascii="仿宋" w:hAnsi="仿宋" w:eastAsia="仿宋" w:cs="仿宋"/>
          <w:color w:val="000000"/>
          <w:sz w:val="32"/>
          <w:szCs w:val="32"/>
        </w:rPr>
        <w:t>③协助委托人完成结算相关的其他工作。</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1.4附录A中“调整”的工作内容概念</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①增加或减少合同中任何工作，或追加额外的工作；</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②取消合同中任何工作；</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③改变合同中任何工作的质量标准或其他特性；</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④改变工程的设计图纸或施工方案；</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⑤改变工程的时间安排或实施顺序。</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常见的工作内容：</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①设计图纸变更或重新出图导致合同履约工作量的增加；</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②根据委托方的要求对概算超过估算或预算超过概算的情况进行造价方面的调整造成合同履约工作量的增加。</w:t>
      </w:r>
    </w:p>
    <w:p>
      <w:pPr>
        <w:spacing w:line="360" w:lineRule="auto"/>
        <w:ind w:firstLine="570"/>
        <w:rPr>
          <w:rFonts w:hint="eastAsia" w:ascii="仿宋" w:hAnsi="仿宋" w:eastAsia="仿宋" w:cs="仿宋"/>
          <w:color w:val="FF0000"/>
          <w:sz w:val="32"/>
          <w:szCs w:val="32"/>
        </w:rPr>
      </w:pPr>
      <w:r>
        <w:rPr>
          <w:rFonts w:hint="eastAsia" w:ascii="仿宋" w:hAnsi="仿宋" w:eastAsia="仿宋" w:cs="仿宋"/>
          <w:color w:val="000000"/>
          <w:sz w:val="32"/>
          <w:szCs w:val="32"/>
        </w:rPr>
        <w:t>应合理考虑非被委托人原因造成的，未包括在原合同工作范围内的增加工作量的费用。</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收费基数按照以下几种方式：</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①调增及调减金额的绝对值之和；</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②根据调整情况增加投入的造价执业人员工作量；</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③按照已完成的额外工作量的相应造价金额的70%。</w:t>
      </w:r>
    </w:p>
    <w:p>
      <w:pPr>
        <w:spacing w:line="360" w:lineRule="auto"/>
        <w:ind w:firstLine="57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质量要求</w:t>
      </w:r>
      <w:r>
        <w:rPr>
          <w:rFonts w:hint="eastAsia" w:ascii="仿宋" w:hAnsi="仿宋" w:eastAsia="仿宋" w:cs="仿宋"/>
          <w:b/>
          <w:bCs/>
          <w:color w:val="000000"/>
          <w:sz w:val="32"/>
          <w:szCs w:val="32"/>
          <w:lang w:val="en-US" w:eastAsia="zh-CN"/>
        </w:rPr>
        <w:t>部分</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咨询成果质量应满足《浙江省建设工程造价质量导则（试行）》（浙建站市[2015]54号）及委托人的要求，也可参照下表执行。</w:t>
      </w:r>
    </w:p>
    <w:p>
      <w:pPr>
        <w:spacing w:line="360" w:lineRule="auto"/>
        <w:ind w:firstLine="480" w:firstLineChars="150"/>
        <w:jc w:val="left"/>
        <w:rPr>
          <w:rFonts w:hint="eastAsia" w:ascii="仿宋" w:hAnsi="仿宋" w:eastAsia="仿宋" w:cs="仿宋"/>
          <w:color w:val="00B050"/>
          <w:sz w:val="32"/>
          <w:szCs w:val="32"/>
          <w:u w:val="single"/>
        </w:rPr>
      </w:pPr>
    </w:p>
    <w:p>
      <w:pPr>
        <w:spacing w:line="360" w:lineRule="auto"/>
        <w:ind w:firstLine="57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咨询成果质量综合误差率参考标准表</w:t>
      </w:r>
    </w:p>
    <w:tbl>
      <w:tblPr>
        <w:tblStyle w:val="9"/>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27"/>
        <w:gridCol w:w="3131"/>
        <w:gridCol w:w="1670"/>
        <w:gridCol w:w="1006"/>
        <w:gridCol w:w="110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4258" w:type="dxa"/>
            <w:gridSpan w:val="2"/>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服务内容</w:t>
            </w:r>
          </w:p>
        </w:tc>
        <w:tc>
          <w:tcPr>
            <w:tcW w:w="1670" w:type="dxa"/>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浙江省导则（≤%）</w:t>
            </w:r>
          </w:p>
        </w:tc>
        <w:tc>
          <w:tcPr>
            <w:tcW w:w="1006"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不合格（</w:t>
            </w:r>
            <w:r>
              <w:rPr>
                <w:rFonts w:hint="eastAsia" w:ascii="仿宋" w:hAnsi="仿宋" w:eastAsia="仿宋" w:cs="仿宋"/>
                <w:sz w:val="32"/>
                <w:szCs w:val="32"/>
              </w:rPr>
              <w:t>＞</w:t>
            </w:r>
            <w:r>
              <w:rPr>
                <w:rFonts w:hint="eastAsia" w:ascii="仿宋" w:hAnsi="仿宋" w:eastAsia="仿宋" w:cs="仿宋"/>
                <w:b/>
                <w:sz w:val="32"/>
                <w:szCs w:val="32"/>
              </w:rPr>
              <w:t>%）</w:t>
            </w:r>
          </w:p>
        </w:tc>
        <w:tc>
          <w:tcPr>
            <w:tcW w:w="1108"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合格（%）</w:t>
            </w:r>
          </w:p>
        </w:tc>
        <w:tc>
          <w:tcPr>
            <w:tcW w:w="1101"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项目建议书阶段建设项目投资估算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20</w:t>
            </w:r>
          </w:p>
        </w:tc>
        <w:tc>
          <w:tcPr>
            <w:tcW w:w="100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20</w:t>
            </w:r>
          </w:p>
        </w:tc>
        <w:tc>
          <w:tcPr>
            <w:tcW w:w="1108"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10-20</w:t>
            </w:r>
          </w:p>
        </w:tc>
        <w:tc>
          <w:tcPr>
            <w:tcW w:w="1101"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可行性研究建设项目投资估算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7.5-15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建设项目的初步设计阶段设计概算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8</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8</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4-8</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施工图预算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27" w:type="dxa"/>
            <w:vMerge w:val="restart"/>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工程量清单编审</w:t>
            </w: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工程量清单中项目特征描述错误的子目数量占工程量清单全部数量的比例</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工程量清单错误造成招标控制价的误差率</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工程量清单与单价因素之和的综合误差率</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127" w:type="dxa"/>
            <w:vMerge w:val="restart"/>
            <w:vAlign w:val="center"/>
          </w:tcPr>
          <w:p>
            <w:pPr>
              <w:jc w:val="left"/>
              <w:rPr>
                <w:rFonts w:hint="eastAsia" w:ascii="仿宋" w:hAnsi="仿宋" w:eastAsia="仿宋" w:cs="仿宋"/>
                <w:sz w:val="32"/>
                <w:szCs w:val="32"/>
              </w:rPr>
            </w:pPr>
            <w:r>
              <w:rPr>
                <w:rFonts w:hint="eastAsia" w:ascii="仿宋" w:hAnsi="仿宋" w:eastAsia="仿宋" w:cs="仿宋"/>
                <w:sz w:val="32"/>
                <w:szCs w:val="32"/>
              </w:rPr>
              <w:t>招标控制价编审</w:t>
            </w: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单独编制招标控制价</w:t>
            </w:r>
          </w:p>
        </w:tc>
        <w:tc>
          <w:tcPr>
            <w:tcW w:w="16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同时编制工程量清单和招标控制价</w:t>
            </w:r>
          </w:p>
        </w:tc>
        <w:tc>
          <w:tcPr>
            <w:tcW w:w="1670" w:type="dxa"/>
            <w:vMerge w:val="continue"/>
            <w:vAlign w:val="center"/>
          </w:tcPr>
          <w:p>
            <w:pPr>
              <w:jc w:val="center"/>
              <w:rPr>
                <w:rFonts w:hint="eastAsia" w:ascii="仿宋" w:hAnsi="仿宋" w:eastAsia="仿宋" w:cs="仿宋"/>
                <w:sz w:val="32"/>
                <w:szCs w:val="32"/>
              </w:rPr>
            </w:pP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竣工结算审核</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bl>
    <w:p>
      <w:pPr>
        <w:spacing w:line="360" w:lineRule="auto"/>
        <w:ind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备注：《浙江省建设工程造价咨询质量导则（试行）》简称浙江省导则，不合格、合格、优秀的误差率划分依据省导则。</w:t>
      </w:r>
    </w:p>
    <w:p>
      <w:pPr>
        <w:spacing w:line="360" w:lineRule="auto"/>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工期</w:t>
      </w:r>
      <w:r>
        <w:rPr>
          <w:rFonts w:hint="eastAsia" w:ascii="仿宋" w:hAnsi="仿宋" w:eastAsia="仿宋" w:cs="仿宋"/>
          <w:b/>
          <w:bCs/>
          <w:color w:val="000000"/>
          <w:sz w:val="32"/>
          <w:szCs w:val="32"/>
          <w:lang w:val="en-US" w:eastAsia="zh-CN"/>
        </w:rPr>
        <w:t>部分</w:t>
      </w:r>
    </w:p>
    <w:p>
      <w:pPr>
        <w:spacing w:line="360" w:lineRule="auto"/>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建设工程造价咨询工期应满足CECA/GC10-2014《建设工程造价咨询工期标准》及委托人的要求。</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建设工程造价咨询工期在标准工期80%-100%之间的，咨询酬金可不增加；建设工程造价咨询工期在标准工期60%-80%之间的，委托人应审查咨询人编制方案的合理性，并增加相应酬金。</w:t>
      </w:r>
    </w:p>
    <w:p>
      <w:pPr>
        <w:spacing w:line="360" w:lineRule="auto"/>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奖罚标准</w:t>
      </w:r>
      <w:r>
        <w:rPr>
          <w:rFonts w:hint="eastAsia" w:ascii="仿宋" w:hAnsi="仿宋" w:eastAsia="仿宋" w:cs="仿宋"/>
          <w:b/>
          <w:bCs/>
          <w:color w:val="000000"/>
          <w:sz w:val="32"/>
          <w:szCs w:val="32"/>
          <w:lang w:val="en-US" w:eastAsia="zh-CN"/>
        </w:rPr>
        <w:t>部分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明确各项造价咨询业务质量、工期及服务水平与咨询费用挂钩的奖罚标准。并考虑奖罚措施。</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4.1咨询成果质量奖罚标准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综合误差率达到《咨询成果质量综合误差率参考标准表》“优秀值”标准的，应予以奖励。奖励额度要在咨询合同中明确约定。建议最多不超过20%的咨询费。并在最后一期咨询费中支付。</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综合误差率在“合格”范围内的，不奖不罚。</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在“不合格”范围内的，被委托人应当无偿提供技术支持修正误差，减少委托人的实际损失并支付质量违约金。每超出1%，咨询人应支付咨询费用10%的质量违约金；以此类推。如没有给委托人造成实际损失的，咨询人质量违约金的上限为50%；如给委托人造成实际损失的，咨询人质量违约金的上限为100%。并按照相关的法律法规的相应条款进行处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4.2工期奖罚标准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因咨询人原因造成的作业期延误，每延期一天罚款咨询服务费1%。作业期提前的，合同双方另行协商。违约金及赔偿金额累计最高上限不应超过咨询费总额（除去税金），违反法律规定的从法律规定。</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4.3服务评价奖罚标准</w:t>
      </w:r>
    </w:p>
    <w:p>
      <w:pPr>
        <w:spacing w:line="360" w:lineRule="auto"/>
        <w:ind w:firstLine="640" w:firstLineChars="200"/>
        <w:rPr>
          <w:rFonts w:hint="eastAsia" w:ascii="仿宋" w:hAnsi="仿宋" w:eastAsia="仿宋" w:cs="仿宋"/>
          <w:color w:val="000000"/>
          <w:sz w:val="32"/>
          <w:szCs w:val="32"/>
        </w:rPr>
      </w:pPr>
    </w:p>
    <w:tbl>
      <w:tblPr>
        <w:tblStyle w:val="9"/>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9713" w:type="dxa"/>
            <w:vAlign w:val="top"/>
          </w:tcPr>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委托人的合同服务水准评价</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一、评价依据</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1、咨询项目组人员专业结构配备合理性。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2、咨询项目组人员符合性。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3、咨询项目组人员专业技术能力。</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4、咨询项目组人员综合沟通能力，服务水平。</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5、咨询成果提交的时效性。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二、评价结果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委托人履约评价分优秀、合格、不合格三项等级。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三、奖罚机制</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评价为优秀的，适当给予合同额10%的奖励；评价为合格的，不奖不罚；评价为不合格的，受托人支付10%的合同额的违约金。</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奖惩金额，也可由合同双方自行约定。</w:t>
            </w:r>
          </w:p>
          <w:p>
            <w:pPr>
              <w:spacing w:line="360" w:lineRule="auto"/>
              <w:jc w:val="center"/>
              <w:rPr>
                <w:rFonts w:hint="eastAsia" w:ascii="仿宋" w:hAnsi="仿宋" w:eastAsia="仿宋" w:cs="仿宋"/>
                <w:b/>
                <w:sz w:val="32"/>
                <w:szCs w:val="32"/>
              </w:rPr>
            </w:pPr>
          </w:p>
        </w:tc>
      </w:tr>
    </w:tbl>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收费基数</w:t>
      </w:r>
      <w:r>
        <w:rPr>
          <w:rFonts w:hint="eastAsia" w:ascii="仿宋" w:hAnsi="仿宋" w:eastAsia="仿宋" w:cs="仿宋"/>
          <w:b/>
          <w:bCs/>
          <w:sz w:val="32"/>
          <w:szCs w:val="32"/>
          <w:lang w:val="en-US" w:eastAsia="zh-CN"/>
        </w:rPr>
        <w:t>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5.1预算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未约定预算收费基数时：按造价为收费基数的，原则上按照现行定额计价规则为依据计算预算造价；按建筑面积为收费基数的，原则上按计价规则计算建筑面积收费。暂估价、暂列金额应明确是否计入收费基数中。分阶段出具咨询成果报告的按各阶段单独计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5.2结算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基本费的收费基数应区分总价合同及单价合同。付费方应在合同内明确。分阶段出具咨询成果报告的按各阶段单独收费。</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付款</w:t>
      </w:r>
      <w:r>
        <w:rPr>
          <w:rFonts w:hint="eastAsia" w:ascii="仿宋" w:hAnsi="仿宋" w:eastAsia="仿宋" w:cs="仿宋"/>
          <w:b/>
          <w:bCs/>
          <w:sz w:val="32"/>
          <w:szCs w:val="32"/>
          <w:lang w:val="en-US" w:eastAsia="zh-CN"/>
        </w:rPr>
        <w:t>要求部分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咨询合同约定的付费时间应该有合理的控制时间节点安排，避免被委托方承担过大风险。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6.1预付款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额度为合同签约估计金额0-10%，提供项目实施方案后支付。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6.2进度款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额度为合同签约金额的50-70%，提供初步咨询成果后支付。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6.3尾款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出具正式咨询成果报告后30天内结清。</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6.4</w:t>
      </w:r>
      <w:r>
        <w:rPr>
          <w:rFonts w:hint="eastAsia" w:ascii="仿宋" w:hAnsi="仿宋" w:eastAsia="仿宋" w:cs="仿宋"/>
          <w:color w:val="000000"/>
          <w:sz w:val="32"/>
          <w:szCs w:val="32"/>
        </w:rPr>
        <w:t>分阶段出具咨询成果报告的按各阶段单独收费。</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6.5</w:t>
      </w:r>
      <w:r>
        <w:rPr>
          <w:rFonts w:hint="eastAsia" w:ascii="仿宋" w:hAnsi="仿宋" w:eastAsia="仿宋" w:cs="仿宋"/>
          <w:color w:val="000000"/>
          <w:sz w:val="32"/>
          <w:szCs w:val="32"/>
        </w:rPr>
        <w:t>合同应明确约定付费方，若由第三方支付得，应有支付保障。</w:t>
      </w:r>
    </w:p>
    <w:p>
      <w:pPr>
        <w:spacing w:line="360" w:lineRule="auto"/>
        <w:rPr>
          <w:rFonts w:hint="eastAsia" w:ascii="仿宋" w:hAnsi="仿宋" w:eastAsia="仿宋" w:cs="仿宋"/>
          <w:b/>
          <w:sz w:val="32"/>
          <w:szCs w:val="32"/>
          <w:lang w:val="en-US" w:eastAsia="zh-CN"/>
        </w:rPr>
      </w:pPr>
    </w:p>
    <w:p>
      <w:pPr>
        <w:spacing w:line="360" w:lineRule="auto"/>
        <w:rPr>
          <w:rFonts w:hint="eastAsia" w:ascii="仿宋" w:hAnsi="仿宋" w:eastAsia="仿宋" w:cs="仿宋"/>
          <w:b/>
          <w:sz w:val="32"/>
          <w:szCs w:val="32"/>
          <w:lang w:val="en-US" w:eastAsia="zh-CN"/>
        </w:rPr>
      </w:pPr>
    </w:p>
    <w:p>
      <w:pPr>
        <w:spacing w:line="360" w:lineRule="auto"/>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文本部分（</w:t>
      </w:r>
      <w:r>
        <w:rPr>
          <w:rFonts w:hint="eastAsia" w:ascii="仿宋" w:hAnsi="仿宋" w:eastAsia="仿宋" w:cs="仿宋"/>
          <w:b/>
          <w:bCs w:val="0"/>
          <w:sz w:val="32"/>
          <w:szCs w:val="32"/>
        </w:rPr>
        <w:t>详见《建设工程造价咨询合同（示范文本）</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（GF-2015-0212）</w:t>
      </w:r>
      <w:r>
        <w:rPr>
          <w:rFonts w:hint="eastAsia" w:ascii="仿宋" w:hAnsi="仿宋" w:eastAsia="仿宋" w:cs="仿宋"/>
          <w:b/>
          <w:bCs w:val="0"/>
          <w:sz w:val="32"/>
          <w:szCs w:val="32"/>
          <w:lang w:eastAsia="zh-CN"/>
        </w:rPr>
        <w:t>内的对应</w:t>
      </w:r>
      <w:r>
        <w:rPr>
          <w:rFonts w:hint="eastAsia" w:ascii="仿宋" w:hAnsi="仿宋" w:eastAsia="仿宋" w:cs="仿宋"/>
          <w:b/>
          <w:bCs w:val="0"/>
          <w:sz w:val="32"/>
          <w:szCs w:val="32"/>
        </w:rPr>
        <w:t>条款</w:t>
      </w:r>
      <w:r>
        <w:rPr>
          <w:rFonts w:hint="eastAsia" w:ascii="仿宋" w:hAnsi="仿宋" w:eastAsia="仿宋" w:cs="仿宋"/>
          <w:b/>
          <w:sz w:val="32"/>
          <w:szCs w:val="32"/>
        </w:rPr>
        <w:t>）</w:t>
      </w:r>
    </w:p>
    <w:p>
      <w:pPr>
        <w:spacing w:line="360" w:lineRule="auto"/>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仿宋" w:hAnsi="仿宋" w:eastAsia="仿宋" w:cs="仿宋"/>
          <w:b/>
          <w:sz w:val="32"/>
          <w:szCs w:val="32"/>
        </w:rPr>
      </w:pPr>
      <w:r>
        <w:rPr>
          <w:rFonts w:hint="eastAsia" w:ascii="仿宋" w:hAnsi="仿宋" w:eastAsia="仿宋" w:cs="仿宋"/>
          <w:bCs/>
          <w:sz w:val="32"/>
          <w:szCs w:val="32"/>
        </w:rPr>
        <w:t>GF—2015—0212</w:t>
      </w:r>
    </w:p>
    <w:p>
      <w:pPr>
        <w:ind w:firstLine="6447" w:firstLineChars="2007"/>
        <w:rPr>
          <w:rFonts w:hint="eastAsia" w:ascii="仿宋" w:hAnsi="仿宋" w:eastAsia="仿宋" w:cs="仿宋"/>
          <w:b/>
          <w:sz w:val="32"/>
          <w:szCs w:val="32"/>
        </w:rPr>
      </w:pPr>
      <w:r>
        <w:rPr>
          <w:rFonts w:hint="eastAsia" w:ascii="仿宋" w:hAnsi="仿宋" w:eastAsia="仿宋" w:cs="仿宋"/>
          <w:b/>
          <w:sz w:val="32"/>
          <w:szCs w:val="32"/>
        </w:rPr>
        <w:t>合同编号：</w:t>
      </w:r>
      <w:r>
        <w:rPr>
          <w:rFonts w:hint="eastAsia" w:ascii="仿宋" w:hAnsi="仿宋" w:eastAsia="仿宋" w:cs="仿宋"/>
          <w:b/>
          <w:sz w:val="32"/>
          <w:szCs w:val="32"/>
          <w:u w:val="single"/>
        </w:rPr>
        <w:t xml:space="preserve">_             </w:t>
      </w:r>
    </w:p>
    <w:p>
      <w:pPr>
        <w:rPr>
          <w:rFonts w:hint="eastAsia" w:ascii="仿宋" w:hAnsi="仿宋" w:eastAsia="仿宋" w:cs="仿宋"/>
          <w:sz w:val="32"/>
          <w:szCs w:val="32"/>
        </w:rPr>
      </w:pPr>
      <w:r>
        <w:rPr>
          <w:rFonts w:hint="eastAsia" w:ascii="仿宋" w:hAnsi="仿宋" w:eastAsia="仿宋" w:cs="仿宋"/>
          <w:sz w:val="32"/>
          <w:szCs w:val="32"/>
        </w:rPr>
        <w:br w:type="textWrapping"/>
      </w:r>
      <w:r>
        <w:rPr>
          <w:rFonts w:hint="eastAsia" w:ascii="仿宋" w:hAnsi="仿宋" w:eastAsia="仿宋" w:cs="仿宋"/>
          <w:sz w:val="32"/>
          <w:szCs w:val="32"/>
        </w:rPr>
        <w:br w:type="textWrapping"/>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r>
        <w:rPr>
          <w:rFonts w:hint="eastAsia" w:ascii="仿宋" w:hAnsi="仿宋" w:eastAsia="仿宋" w:cs="仿宋"/>
          <w:b/>
          <w:sz w:val="32"/>
          <w:szCs w:val="32"/>
        </w:rPr>
        <w:t>建设工程造价咨询合同</w:t>
      </w:r>
      <w:r>
        <w:rPr>
          <w:rFonts w:hint="eastAsia" w:ascii="仿宋" w:hAnsi="仿宋" w:eastAsia="仿宋" w:cs="仿宋"/>
          <w:sz w:val="32"/>
          <w:szCs w:val="32"/>
        </w:rPr>
        <w:br w:type="textWrapping"/>
      </w:r>
      <w:r>
        <w:rPr>
          <w:rFonts w:hint="eastAsia" w:ascii="仿宋" w:hAnsi="仿宋" w:eastAsia="仿宋" w:cs="仿宋"/>
          <w:b/>
          <w:sz w:val="32"/>
          <w:szCs w:val="32"/>
        </w:rPr>
        <w:t>（示范文本）</w:t>
      </w:r>
      <w:r>
        <w:rPr>
          <w:rFonts w:hint="eastAsia" w:ascii="仿宋" w:hAnsi="仿宋" w:eastAsia="仿宋" w:cs="仿宋"/>
          <w:b/>
          <w:sz w:val="32"/>
          <w:szCs w:val="32"/>
        </w:rPr>
        <w:br w:type="textWrapping"/>
      </w:r>
    </w:p>
    <w:p>
      <w:pPr>
        <w:rPr>
          <w:rFonts w:hint="eastAsia" w:ascii="仿宋" w:hAnsi="仿宋" w:eastAsia="仿宋" w:cs="仿宋"/>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jc w:val="center"/>
        <w:rPr>
          <w:rFonts w:hint="eastAsia" w:ascii="仿宋" w:hAnsi="仿宋" w:eastAsia="仿宋" w:cs="仿宋"/>
          <w:color w:val="auto"/>
          <w:sz w:val="32"/>
          <w:szCs w:val="32"/>
        </w:rPr>
      </w:pPr>
    </w:p>
    <w:p>
      <w:pPr>
        <w:pStyle w:val="10"/>
        <w:rPr>
          <w:rFonts w:hint="eastAsia"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3761105</wp:posOffset>
                </wp:positionH>
                <wp:positionV relativeFrom="paragraph">
                  <wp:posOffset>267970</wp:posOffset>
                </wp:positionV>
                <wp:extent cx="2239010" cy="487680"/>
                <wp:effectExtent l="0" t="644525" r="0" b="650875"/>
                <wp:wrapNone/>
                <wp:docPr id="1" name="Text Box 4"/>
                <wp:cNvGraphicFramePr/>
                <a:graphic xmlns:a="http://schemas.openxmlformats.org/drawingml/2006/main">
                  <a:graphicData uri="http://schemas.microsoft.com/office/word/2010/wordprocessingShape">
                    <wps:wsp>
                      <wps:cNvSpPr txBox="1"/>
                      <wps:spPr>
                        <a:xfrm rot="8520000">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 xml:space="preserve">      制定</w:t>
                            </w:r>
                          </w:p>
                        </w:txbxContent>
                      </wps:txbx>
                      <wps:bodyPr upright="1"/>
                    </wps:wsp>
                  </a:graphicData>
                </a:graphic>
              </wp:anchor>
            </w:drawing>
          </mc:Choice>
          <mc:Fallback>
            <w:pict>
              <v:shape id="Text Box 4" o:spid="_x0000_s1026" o:spt="202" type="#_x0000_t202" style="position:absolute;left:0pt;margin-left:296.15pt;margin-top:21.1pt;height:38.4pt;width:176.3pt;rotation:9306112f;z-index:251658240;mso-width-relative:page;mso-height-relative:page;" fillcolor="#FFFFFF" filled="t" stroked="t" coordsize="21600,21600" o:gfxdata="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Smi3YAAAA&#10;CgEAAA8AAAAAAAAAAQAgAAAAIgAAAGRycy9kb3ducmV2LnhtbFBLAQIUABQAAAAIAIdO4kCiHzpz&#10;5AEAAPIDAAAOAAAAAAAAAAEAIAAAACcBAABkcnMvZTJvRG9jLnhtbFBLBQYAAAAABgAGAFkBAAB9&#10;BQAAAAA=&#10;">
                <v:fill on="t" focussize="0,0"/>
                <v:stroke weight="0pt" color="#FFFFFF" joinstyle="miter"/>
                <v:imagedata o:title=""/>
                <o:lock v:ext="edit" aspectratio="f"/>
                <v:textbox>
                  <w:txbxContent>
                    <w:p>
                      <w:pPr>
                        <w:rPr>
                          <w:b/>
                          <w:sz w:val="32"/>
                          <w:szCs w:val="32"/>
                        </w:rPr>
                      </w:pPr>
                      <w:r>
                        <w:rPr>
                          <w:rFonts w:hint="eastAsia"/>
                          <w:b/>
                          <w:sz w:val="32"/>
                          <w:szCs w:val="32"/>
                        </w:rPr>
                        <w:t xml:space="preserve">      制定</w:t>
                      </w:r>
                    </w:p>
                  </w:txbxContent>
                </v:textbox>
              </v:shape>
            </w:pict>
          </mc:Fallback>
        </mc:AlternateContent>
      </w:r>
      <w:r>
        <w:rPr>
          <w:rFonts w:hint="eastAsia" w:ascii="仿宋" w:hAnsi="仿宋" w:eastAsia="仿宋" w:cs="仿宋"/>
          <w:color w:val="auto"/>
          <w:sz w:val="32"/>
          <w:szCs w:val="32"/>
        </w:rPr>
        <w:t xml:space="preserve">                  住 房 和 城 乡 建 设 部</w:t>
      </w:r>
    </w:p>
    <w:p>
      <w:pPr>
        <w:pStyle w:val="10"/>
        <w:ind w:firstLine="2409" w:firstLineChars="750"/>
        <w:rPr>
          <w:rFonts w:hint="eastAsia" w:ascii="仿宋" w:hAnsi="仿宋" w:eastAsia="仿宋" w:cs="仿宋"/>
          <w:color w:val="auto"/>
          <w:sz w:val="32"/>
          <w:szCs w:val="32"/>
        </w:rPr>
      </w:pPr>
      <w:r>
        <w:rPr>
          <w:rFonts w:hint="eastAsia" w:ascii="仿宋" w:hAnsi="仿宋" w:eastAsia="仿宋" w:cs="仿宋"/>
          <w:color w:val="auto"/>
          <w:sz w:val="32"/>
          <w:szCs w:val="32"/>
        </w:rPr>
        <w:t xml:space="preserve">    国家工商行政管理总局</w:t>
      </w:r>
    </w:p>
    <w:p>
      <w:pPr>
        <w:pStyle w:val="11"/>
        <w:spacing w:before="0" w:after="0" w:line="500" w:lineRule="exact"/>
        <w:jc w:val="center"/>
        <w:rPr>
          <w:rFonts w:hint="eastAsia" w:ascii="仿宋" w:hAnsi="仿宋" w:eastAsia="仿宋" w:cs="仿宋"/>
          <w:sz w:val="32"/>
          <w:szCs w:val="32"/>
          <w:lang w:val="zh-CN"/>
        </w:rPr>
      </w:pPr>
    </w:p>
    <w:p>
      <w:pPr>
        <w:spacing w:line="360" w:lineRule="auto"/>
        <w:jc w:val="center"/>
        <w:rPr>
          <w:rFonts w:hint="eastAsia" w:ascii="仿宋" w:hAnsi="仿宋" w:eastAsia="仿宋" w:cs="仿宋"/>
          <w:sz w:val="32"/>
          <w:szCs w:val="32"/>
        </w:rPr>
      </w:pPr>
      <w:bookmarkStart w:id="0" w:name="_Toc419045055"/>
      <w:bookmarkStart w:id="1" w:name="_Toc422322470"/>
      <w:r>
        <w:rPr>
          <w:rFonts w:hint="eastAsia" w:ascii="仿宋" w:hAnsi="仿宋" w:eastAsia="仿宋" w:cs="仿宋"/>
          <w:sz w:val="32"/>
          <w:szCs w:val="32"/>
        </w:rPr>
        <w:br w:type="page"/>
      </w:r>
      <w:r>
        <w:rPr>
          <w:rFonts w:hint="eastAsia" w:ascii="仿宋" w:hAnsi="仿宋" w:eastAsia="仿宋" w:cs="仿宋"/>
          <w:sz w:val="32"/>
          <w:szCs w:val="32"/>
        </w:rPr>
        <w:t>第一部分　协议书</w:t>
      </w:r>
      <w:bookmarkEnd w:id="0"/>
      <w:bookmarkEnd w:id="1"/>
    </w:p>
    <w:p>
      <w:pPr>
        <w:spacing w:line="360" w:lineRule="auto"/>
        <w:jc w:val="center"/>
        <w:rPr>
          <w:rFonts w:hint="eastAsia" w:ascii="仿宋" w:hAnsi="仿宋" w:eastAsia="仿宋" w:cs="仿宋"/>
          <w:sz w:val="32"/>
          <w:szCs w:val="32"/>
        </w:rPr>
      </w:pPr>
    </w:p>
    <w:p>
      <w:pPr>
        <w:pStyle w:val="12"/>
        <w:spacing w:line="360" w:lineRule="auto"/>
        <w:ind w:left="420" w:leftChars="200"/>
        <w:jc w:val="left"/>
        <w:rPr>
          <w:rFonts w:hint="eastAsia" w:ascii="仿宋" w:hAnsi="仿宋" w:eastAsia="仿宋" w:cs="仿宋"/>
          <w:sz w:val="32"/>
          <w:szCs w:val="32"/>
        </w:rPr>
      </w:pPr>
      <w:bookmarkStart w:id="2" w:name="7"/>
      <w:r>
        <w:rPr>
          <w:rFonts w:hint="eastAsia" w:ascii="仿宋" w:hAnsi="仿宋" w:eastAsia="仿宋" w:cs="仿宋"/>
          <w:sz w:val="32"/>
          <w:szCs w:val="32"/>
        </w:rPr>
        <w:t>委托人（全称）：</w:t>
      </w:r>
      <w:r>
        <w:rPr>
          <w:rFonts w:hint="eastAsia" w:ascii="仿宋" w:hAnsi="仿宋" w:eastAsia="仿宋" w:cs="仿宋"/>
          <w:sz w:val="32"/>
          <w:szCs w:val="32"/>
          <w:u w:val="single"/>
        </w:rPr>
        <w:t xml:space="preserve">                              </w:t>
      </w:r>
    </w:p>
    <w:p>
      <w:pPr>
        <w:pStyle w:val="12"/>
        <w:spacing w:line="360" w:lineRule="auto"/>
        <w:ind w:left="420" w:leftChars="200"/>
        <w:jc w:val="left"/>
        <w:rPr>
          <w:rFonts w:hint="eastAsia" w:ascii="仿宋" w:hAnsi="仿宋" w:eastAsia="仿宋" w:cs="仿宋"/>
          <w:sz w:val="32"/>
          <w:szCs w:val="32"/>
        </w:rPr>
      </w:pPr>
      <w:r>
        <w:rPr>
          <w:rFonts w:hint="eastAsia" w:ascii="仿宋" w:hAnsi="仿宋" w:eastAsia="仿宋" w:cs="仿宋"/>
          <w:sz w:val="32"/>
          <w:szCs w:val="32"/>
        </w:rPr>
        <w:t>咨询人（全称）：</w:t>
      </w:r>
      <w:r>
        <w:rPr>
          <w:rFonts w:hint="eastAsia" w:ascii="仿宋" w:hAnsi="仿宋" w:eastAsia="仿宋" w:cs="仿宋"/>
          <w:sz w:val="32"/>
          <w:szCs w:val="32"/>
          <w:u w:val="single"/>
        </w:rPr>
        <w:t xml:space="preserve">                               </w:t>
      </w:r>
    </w:p>
    <w:p>
      <w:pPr>
        <w:pStyle w:val="12"/>
        <w:spacing w:line="360" w:lineRule="auto"/>
        <w:ind w:left="420" w:leftChars="200"/>
        <w:jc w:val="left"/>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"javascript:SLC(21651,0)" </w:instrText>
      </w:r>
      <w:r>
        <w:rPr>
          <w:rFonts w:hint="eastAsia" w:ascii="仿宋" w:hAnsi="仿宋" w:eastAsia="仿宋" w:cs="仿宋"/>
          <w:sz w:val="32"/>
          <w:szCs w:val="32"/>
        </w:rPr>
        <w:fldChar w:fldCharType="separate"/>
      </w:r>
      <w:r>
        <w:rPr>
          <w:rStyle w:val="13"/>
          <w:rFonts w:hint="eastAsia" w:ascii="仿宋" w:hAnsi="仿宋" w:eastAsia="仿宋" w:cs="仿宋"/>
          <w:color w:val="auto"/>
          <w:sz w:val="32"/>
          <w:szCs w:val="32"/>
        </w:rPr>
        <w:t>中华人民共和国合同法</w:t>
      </w:r>
      <w:r>
        <w:rPr>
          <w:rFonts w:hint="eastAsia" w:ascii="仿宋" w:hAnsi="仿宋" w:eastAsia="仿宋" w:cs="仿宋"/>
          <w:sz w:val="32"/>
          <w:szCs w:val="32"/>
        </w:rPr>
        <w:fldChar w:fldCharType="end"/>
      </w:r>
      <w:r>
        <w:rPr>
          <w:rFonts w:hint="eastAsia" w:ascii="仿宋" w:hAnsi="仿宋" w:eastAsia="仿宋" w:cs="仿宋"/>
          <w:sz w:val="32"/>
          <w:szCs w:val="32"/>
        </w:rPr>
        <w:t>》及其他有关法律、法规，遵循平等、自愿、公平和诚实信用的原则，双方就下述建设工程委托造价咨询与其他服务事项协商一致，订立本合同。</w:t>
      </w:r>
    </w:p>
    <w:p>
      <w:pPr>
        <w:numPr>
          <w:ilvl w:val="0"/>
          <w:numId w:val="1"/>
        </w:numPr>
        <w:spacing w:line="360" w:lineRule="auto"/>
        <w:ind w:firstLine="643" w:firstLineChars="200"/>
        <w:rPr>
          <w:rFonts w:hint="eastAsia" w:ascii="仿宋" w:hAnsi="仿宋" w:eastAsia="仿宋" w:cs="仿宋"/>
          <w:sz w:val="32"/>
          <w:szCs w:val="32"/>
          <w:u w:val="single"/>
        </w:rPr>
      </w:pPr>
      <w:bookmarkStart w:id="3" w:name="_Toc422322471"/>
      <w:bookmarkStart w:id="4" w:name="_Toc419045056"/>
      <w:r>
        <w:rPr>
          <w:rStyle w:val="14"/>
          <w:rFonts w:hint="eastAsia" w:ascii="仿宋" w:hAnsi="仿宋" w:eastAsia="仿宋" w:cs="仿宋"/>
          <w:sz w:val="32"/>
          <w:szCs w:val="32"/>
        </w:rPr>
        <w:t>工程概况</w:t>
      </w:r>
      <w:bookmarkEnd w:id="3"/>
      <w:r>
        <w:rPr>
          <w:rFonts w:hint="eastAsia" w:ascii="仿宋" w:hAnsi="仿宋" w:eastAsia="仿宋" w:cs="仿宋"/>
          <w:sz w:val="32"/>
          <w:szCs w:val="32"/>
        </w:rPr>
        <w:br w:type="textWrapping"/>
      </w:r>
      <w:r>
        <w:rPr>
          <w:rFonts w:hint="eastAsia" w:ascii="仿宋" w:hAnsi="仿宋" w:eastAsia="仿宋" w:cs="仿宋"/>
          <w:sz w:val="32"/>
          <w:szCs w:val="32"/>
        </w:rPr>
        <w:t xml:space="preserve">     1.工程名称：</w:t>
      </w:r>
      <w:r>
        <w:rPr>
          <w:rFonts w:hint="eastAsia" w:ascii="仿宋" w:hAnsi="仿宋" w:eastAsia="仿宋" w:cs="仿宋"/>
          <w:bCs/>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2.工程地点：</w:t>
      </w:r>
      <w:bookmarkEnd w:id="4"/>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rPr>
        <w:t xml:space="preserve">     3.工程规模：</w:t>
      </w:r>
      <w:r>
        <w:rPr>
          <w:rFonts w:hint="eastAsia" w:ascii="仿宋" w:hAnsi="仿宋" w:eastAsia="仿宋" w:cs="仿宋"/>
          <w:sz w:val="32"/>
          <w:szCs w:val="32"/>
          <w:u w:val="single"/>
        </w:rPr>
        <w:t xml:space="preserve">                                                        </w:t>
      </w:r>
    </w:p>
    <w:p>
      <w:pPr>
        <w:pStyle w:val="12"/>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4.工程费用：</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pStyle w:val="12"/>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5.资金来源：</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pStyle w:val="12"/>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6.建设工期或周期：</w:t>
      </w:r>
      <w:r>
        <w:rPr>
          <w:rFonts w:hint="eastAsia" w:ascii="仿宋" w:hAnsi="仿宋" w:eastAsia="仿宋" w:cs="仿宋"/>
          <w:sz w:val="32"/>
          <w:szCs w:val="32"/>
          <w:u w:val="single"/>
        </w:rPr>
        <w:t xml:space="preserve">                                                 </w:t>
      </w:r>
    </w:p>
    <w:p>
      <w:pPr>
        <w:pStyle w:val="12"/>
        <w:spacing w:line="360" w:lineRule="auto"/>
        <w:ind w:left="600"/>
        <w:jc w:val="left"/>
        <w:rPr>
          <w:rFonts w:hint="eastAsia" w:ascii="仿宋" w:hAnsi="仿宋" w:eastAsia="仿宋" w:cs="仿宋"/>
          <w:sz w:val="32"/>
          <w:szCs w:val="32"/>
        </w:rPr>
      </w:pPr>
      <w:r>
        <w:rPr>
          <w:rFonts w:hint="eastAsia" w:ascii="仿宋" w:hAnsi="仿宋" w:eastAsia="仿宋" w:cs="仿宋"/>
          <w:sz w:val="32"/>
          <w:szCs w:val="32"/>
        </w:rPr>
        <w:t>7.其他：</w:t>
      </w:r>
      <w:bookmarkEnd w:id="2"/>
      <w:r>
        <w:rPr>
          <w:rFonts w:hint="eastAsia" w:ascii="仿宋" w:hAnsi="仿宋" w:eastAsia="仿宋" w:cs="仿宋"/>
          <w:sz w:val="32"/>
          <w:szCs w:val="32"/>
          <w:u w:val="single"/>
        </w:rPr>
        <w:t xml:space="preserve">                                                           </w:t>
      </w:r>
    </w:p>
    <w:p>
      <w:pPr>
        <w:pStyle w:val="7"/>
        <w:spacing w:before="0" w:after="0" w:line="360" w:lineRule="auto"/>
        <w:ind w:firstLine="643" w:firstLineChars="200"/>
        <w:jc w:val="left"/>
        <w:rPr>
          <w:rFonts w:hint="eastAsia" w:ascii="仿宋" w:hAnsi="仿宋" w:eastAsia="仿宋" w:cs="仿宋"/>
          <w:sz w:val="32"/>
          <w:szCs w:val="32"/>
        </w:rPr>
      </w:pPr>
      <w:bookmarkStart w:id="5" w:name="_Toc422322472"/>
      <w:bookmarkStart w:id="6" w:name="_Toc419045059"/>
      <w:r>
        <w:rPr>
          <w:rFonts w:hint="eastAsia" w:ascii="仿宋" w:hAnsi="仿宋" w:eastAsia="仿宋" w:cs="仿宋"/>
          <w:sz w:val="32"/>
          <w:szCs w:val="32"/>
        </w:rPr>
        <w:t>二、服务范围及工作内容</w:t>
      </w:r>
      <w:bookmarkEnd w:id="5"/>
      <w:bookmarkEnd w:id="6"/>
    </w:p>
    <w:p>
      <w:pPr>
        <w:spacing w:line="360" w:lineRule="auto"/>
        <w:rPr>
          <w:rFonts w:hint="eastAsia" w:ascii="仿宋" w:hAnsi="仿宋" w:eastAsia="仿宋" w:cs="仿宋"/>
          <w:sz w:val="32"/>
          <w:szCs w:val="32"/>
          <w:u w:val="single"/>
        </w:rPr>
      </w:pPr>
      <w:r>
        <w:rPr>
          <w:rFonts w:hint="eastAsia" w:ascii="仿宋" w:hAnsi="仿宋" w:eastAsia="仿宋" w:cs="仿宋"/>
          <w:sz w:val="32"/>
          <w:szCs w:val="32"/>
        </w:rPr>
        <w:t xml:space="preserve">    双方约定的服务范围及工作内容：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服务范围及工作内容详见附录A。</w:t>
      </w:r>
      <w:bookmarkStart w:id="7" w:name="_Toc419045060"/>
      <w:bookmarkStart w:id="8" w:name="9"/>
    </w:p>
    <w:p>
      <w:pPr>
        <w:pStyle w:val="7"/>
        <w:spacing w:before="0" w:after="0" w:line="360" w:lineRule="auto"/>
        <w:ind w:firstLine="643" w:firstLineChars="200"/>
        <w:jc w:val="left"/>
        <w:rPr>
          <w:rFonts w:hint="eastAsia" w:ascii="仿宋" w:hAnsi="仿宋" w:eastAsia="仿宋" w:cs="仿宋"/>
          <w:sz w:val="32"/>
          <w:szCs w:val="32"/>
        </w:rPr>
      </w:pPr>
      <w:bookmarkStart w:id="9" w:name="_Toc422322473"/>
      <w:r>
        <w:rPr>
          <w:rFonts w:hint="eastAsia" w:ascii="仿宋" w:hAnsi="仿宋" w:eastAsia="仿宋" w:cs="仿宋"/>
          <w:sz w:val="32"/>
          <w:szCs w:val="32"/>
        </w:rPr>
        <w:t>三、服务期限</w:t>
      </w:r>
      <w:bookmarkEnd w:id="7"/>
      <w:bookmarkEnd w:id="9"/>
    </w:p>
    <w:p>
      <w:pPr>
        <w:pStyle w:val="1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本合同约定的建设工程造价咨询服务自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日开始实施，至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日（或约定的工作内容完成）终结。</w:t>
      </w:r>
      <w:bookmarkEnd w:id="8"/>
      <w:r>
        <w:rPr>
          <w:rFonts w:hint="eastAsia" w:ascii="仿宋" w:hAnsi="仿宋" w:eastAsia="仿宋" w:cs="仿宋"/>
          <w:sz w:val="32"/>
          <w:szCs w:val="32"/>
        </w:rPr>
        <w:t xml:space="preserve">  </w:t>
      </w:r>
    </w:p>
    <w:p>
      <w:pPr>
        <w:pStyle w:val="7"/>
        <w:spacing w:before="0" w:after="0" w:line="360" w:lineRule="auto"/>
        <w:ind w:firstLine="643" w:firstLineChars="200"/>
        <w:jc w:val="left"/>
        <w:rPr>
          <w:rFonts w:hint="eastAsia" w:ascii="仿宋" w:hAnsi="仿宋" w:eastAsia="仿宋" w:cs="仿宋"/>
          <w:sz w:val="32"/>
          <w:szCs w:val="32"/>
        </w:rPr>
      </w:pPr>
      <w:bookmarkStart w:id="10" w:name="_Toc422322474"/>
      <w:bookmarkStart w:id="11" w:name="_Toc419045061"/>
      <w:r>
        <w:rPr>
          <w:rFonts w:hint="eastAsia" w:ascii="仿宋" w:hAnsi="仿宋" w:eastAsia="仿宋" w:cs="仿宋"/>
          <w:sz w:val="32"/>
          <w:szCs w:val="32"/>
        </w:rPr>
        <w:t>四、质量标准</w:t>
      </w:r>
      <w:bookmarkEnd w:id="10"/>
      <w:bookmarkEnd w:id="1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工程造价咨询成果文件应符合：</w:t>
      </w:r>
      <w:r>
        <w:rPr>
          <w:rFonts w:hint="eastAsia" w:ascii="仿宋" w:hAnsi="仿宋" w:eastAsia="仿宋" w:cs="仿宋"/>
          <w:sz w:val="32"/>
          <w:szCs w:val="32"/>
          <w:u w:val="single"/>
        </w:rPr>
        <w:t>按补充条款执行。</w:t>
      </w:r>
    </w:p>
    <w:p>
      <w:pPr>
        <w:pStyle w:val="7"/>
        <w:spacing w:before="0" w:after="0" w:line="360" w:lineRule="auto"/>
        <w:ind w:firstLine="643" w:firstLineChars="200"/>
        <w:jc w:val="left"/>
        <w:rPr>
          <w:rFonts w:hint="eastAsia" w:ascii="仿宋" w:hAnsi="仿宋" w:eastAsia="仿宋" w:cs="仿宋"/>
          <w:sz w:val="32"/>
          <w:szCs w:val="32"/>
        </w:rPr>
      </w:pPr>
      <w:bookmarkStart w:id="12" w:name="_Toc419045062"/>
      <w:bookmarkStart w:id="13" w:name="_Toc422322475"/>
      <w:bookmarkStart w:id="14" w:name="12"/>
      <w:r>
        <w:rPr>
          <w:rFonts w:hint="eastAsia" w:ascii="仿宋" w:hAnsi="仿宋" w:eastAsia="仿宋" w:cs="仿宋"/>
          <w:sz w:val="32"/>
          <w:szCs w:val="32"/>
        </w:rPr>
        <w:t>五、酬金或计取方式</w:t>
      </w:r>
      <w:bookmarkEnd w:id="12"/>
      <w:bookmarkEnd w:id="13"/>
    </w:p>
    <w:p>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1、酬金：</w:t>
      </w:r>
      <w:r>
        <w:rPr>
          <w:rFonts w:hint="eastAsia" w:ascii="仿宋" w:hAnsi="仿宋" w:eastAsia="仿宋" w:cs="仿宋"/>
          <w:sz w:val="32"/>
          <w:szCs w:val="32"/>
          <w:u w:val="single"/>
        </w:rPr>
        <w:t xml:space="preserve">                 （大写）（                            ）</w:t>
      </w:r>
    </w:p>
    <w:p>
      <w:pPr>
        <w:numPr>
          <w:ilvl w:val="0"/>
          <w:numId w:val="2"/>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计取方式：</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酬金及计取方式详见附录A</w:t>
      </w:r>
    </w:p>
    <w:p>
      <w:pPr>
        <w:pStyle w:val="12"/>
        <w:spacing w:line="360" w:lineRule="auto"/>
        <w:ind w:left="482"/>
        <w:jc w:val="left"/>
        <w:rPr>
          <w:rFonts w:hint="eastAsia" w:ascii="仿宋" w:hAnsi="仿宋" w:eastAsia="仿宋" w:cs="仿宋"/>
          <w:sz w:val="32"/>
          <w:szCs w:val="32"/>
        </w:rPr>
      </w:pPr>
      <w:bookmarkStart w:id="15" w:name="_Toc419045058"/>
      <w:bookmarkStart w:id="16" w:name="_Toc422322476"/>
      <w:r>
        <w:rPr>
          <w:rStyle w:val="14"/>
          <w:rFonts w:hint="eastAsia" w:ascii="仿宋" w:hAnsi="仿宋" w:eastAsia="仿宋" w:cs="仿宋"/>
          <w:sz w:val="32"/>
          <w:szCs w:val="32"/>
        </w:rPr>
        <w:t>六、合同文件的构成</w:t>
      </w:r>
      <w:bookmarkEnd w:id="15"/>
      <w:bookmarkEnd w:id="16"/>
      <w:r>
        <w:rPr>
          <w:rFonts w:hint="eastAsia" w:ascii="仿宋" w:hAnsi="仿宋" w:eastAsia="仿宋" w:cs="仿宋"/>
          <w:sz w:val="32"/>
          <w:szCs w:val="32"/>
        </w:rPr>
        <w:br w:type="textWrapping"/>
      </w:r>
      <w:r>
        <w:rPr>
          <w:rFonts w:hint="eastAsia" w:ascii="仿宋" w:hAnsi="仿宋" w:eastAsia="仿宋" w:cs="仿宋"/>
          <w:sz w:val="32"/>
          <w:szCs w:val="32"/>
        </w:rPr>
        <w:t>本协议书与下列文件一起构成合同文件:</w:t>
      </w:r>
    </w:p>
    <w:p>
      <w:pPr>
        <w:pStyle w:val="12"/>
        <w:spacing w:line="360" w:lineRule="auto"/>
        <w:ind w:left="481"/>
        <w:jc w:val="left"/>
        <w:rPr>
          <w:rFonts w:hint="eastAsia" w:ascii="仿宋" w:hAnsi="仿宋" w:eastAsia="仿宋" w:cs="仿宋"/>
          <w:sz w:val="32"/>
          <w:szCs w:val="32"/>
        </w:rPr>
      </w:pPr>
      <w:r>
        <w:rPr>
          <w:rFonts w:hint="eastAsia" w:ascii="仿宋" w:hAnsi="仿宋" w:eastAsia="仿宋" w:cs="仿宋"/>
          <w:sz w:val="32"/>
          <w:szCs w:val="32"/>
        </w:rPr>
        <w:t>1.中标通知书或委托书（如果有）；</w:t>
      </w:r>
    </w:p>
    <w:p>
      <w:pPr>
        <w:pStyle w:val="12"/>
        <w:spacing w:line="360" w:lineRule="auto"/>
        <w:ind w:left="481"/>
        <w:jc w:val="left"/>
        <w:rPr>
          <w:rFonts w:hint="eastAsia" w:ascii="仿宋" w:hAnsi="仿宋" w:eastAsia="仿宋" w:cs="仿宋"/>
          <w:sz w:val="32"/>
          <w:szCs w:val="32"/>
        </w:rPr>
      </w:pPr>
      <w:r>
        <w:rPr>
          <w:rFonts w:hint="eastAsia" w:ascii="仿宋" w:hAnsi="仿宋" w:eastAsia="仿宋" w:cs="仿宋"/>
          <w:sz w:val="32"/>
          <w:szCs w:val="32"/>
        </w:rPr>
        <w:t>2.投标函及投标函附录或造价咨询服务建议书（如果有）；</w:t>
      </w:r>
    </w:p>
    <w:p>
      <w:pPr>
        <w:pStyle w:val="12"/>
        <w:spacing w:line="360" w:lineRule="auto"/>
        <w:ind w:left="481"/>
        <w:jc w:val="left"/>
        <w:rPr>
          <w:rFonts w:hint="eastAsia" w:ascii="仿宋" w:hAnsi="仿宋" w:eastAsia="仿宋" w:cs="仿宋"/>
          <w:sz w:val="32"/>
          <w:szCs w:val="32"/>
        </w:rPr>
      </w:pPr>
      <w:r>
        <w:rPr>
          <w:rFonts w:hint="eastAsia" w:ascii="仿宋" w:hAnsi="仿宋" w:eastAsia="仿宋" w:cs="仿宋"/>
          <w:sz w:val="32"/>
          <w:szCs w:val="32"/>
        </w:rPr>
        <w:t>3.专用条件及附录；</w:t>
      </w:r>
    </w:p>
    <w:p>
      <w:pPr>
        <w:pStyle w:val="12"/>
        <w:spacing w:line="360" w:lineRule="auto"/>
        <w:ind w:left="481"/>
        <w:jc w:val="left"/>
        <w:rPr>
          <w:rFonts w:hint="eastAsia" w:ascii="仿宋" w:hAnsi="仿宋" w:eastAsia="仿宋" w:cs="仿宋"/>
          <w:sz w:val="32"/>
          <w:szCs w:val="32"/>
        </w:rPr>
      </w:pPr>
      <w:r>
        <w:rPr>
          <w:rFonts w:hint="eastAsia" w:ascii="仿宋" w:hAnsi="仿宋" w:eastAsia="仿宋" w:cs="仿宋"/>
          <w:sz w:val="32"/>
          <w:szCs w:val="32"/>
        </w:rPr>
        <w:t>4.通用条件；</w:t>
      </w:r>
    </w:p>
    <w:p>
      <w:pPr>
        <w:pStyle w:val="12"/>
        <w:spacing w:line="360" w:lineRule="auto"/>
        <w:ind w:left="481"/>
        <w:jc w:val="left"/>
        <w:rPr>
          <w:rFonts w:hint="eastAsia" w:ascii="仿宋" w:hAnsi="仿宋" w:eastAsia="仿宋" w:cs="仿宋"/>
          <w:sz w:val="32"/>
          <w:szCs w:val="32"/>
        </w:rPr>
      </w:pPr>
      <w:r>
        <w:rPr>
          <w:rFonts w:hint="eastAsia" w:ascii="仿宋" w:hAnsi="仿宋" w:eastAsia="仿宋" w:cs="仿宋"/>
          <w:sz w:val="32"/>
          <w:szCs w:val="32"/>
        </w:rPr>
        <w:t>5.其他合同文件。</w:t>
      </w:r>
    </w:p>
    <w:p>
      <w:pPr>
        <w:pStyle w:val="1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上述各项合同文件包括合同当事人就该项合同文件所作出的补充和修改，属于同一类内容的文件，应以最新签署的为准。</w:t>
      </w:r>
    </w:p>
    <w:p>
      <w:pPr>
        <w:pStyle w:val="1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在合同订立及履行过程中形成的与合同有关的文件（包括补充协议）均构成合同文件的组成部分。</w:t>
      </w:r>
    </w:p>
    <w:p>
      <w:pPr>
        <w:pStyle w:val="7"/>
        <w:spacing w:before="0" w:after="0" w:line="360" w:lineRule="auto"/>
        <w:ind w:firstLine="643" w:firstLineChars="200"/>
        <w:jc w:val="left"/>
        <w:rPr>
          <w:rStyle w:val="14"/>
          <w:rFonts w:hint="eastAsia" w:ascii="仿宋" w:hAnsi="仿宋" w:eastAsia="仿宋" w:cs="仿宋"/>
          <w:b/>
          <w:bCs w:val="0"/>
          <w:sz w:val="32"/>
          <w:szCs w:val="32"/>
        </w:rPr>
      </w:pPr>
      <w:bookmarkStart w:id="17" w:name="_Toc419045057"/>
      <w:bookmarkStart w:id="18" w:name="_Toc422322477"/>
      <w:r>
        <w:rPr>
          <w:rStyle w:val="14"/>
          <w:rFonts w:hint="eastAsia" w:ascii="仿宋" w:hAnsi="仿宋" w:eastAsia="仿宋" w:cs="仿宋"/>
          <w:b/>
          <w:bCs w:val="0"/>
          <w:sz w:val="32"/>
          <w:szCs w:val="32"/>
        </w:rPr>
        <w:t>七、</w:t>
      </w:r>
      <w:bookmarkStart w:id="19" w:name="8"/>
      <w:r>
        <w:rPr>
          <w:rStyle w:val="14"/>
          <w:rFonts w:hint="eastAsia" w:ascii="仿宋" w:hAnsi="仿宋" w:eastAsia="仿宋" w:cs="仿宋"/>
          <w:b/>
          <w:bCs w:val="0"/>
          <w:sz w:val="32"/>
          <w:szCs w:val="32"/>
        </w:rPr>
        <w:t>词语</w:t>
      </w:r>
      <w:bookmarkEnd w:id="17"/>
      <w:r>
        <w:rPr>
          <w:rStyle w:val="14"/>
          <w:rFonts w:hint="eastAsia" w:ascii="仿宋" w:hAnsi="仿宋" w:eastAsia="仿宋" w:cs="仿宋"/>
          <w:b/>
          <w:bCs w:val="0"/>
          <w:sz w:val="32"/>
          <w:szCs w:val="32"/>
        </w:rPr>
        <w:t>定义</w:t>
      </w:r>
      <w:bookmarkEnd w:id="18"/>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协议书中相关词语的含义与通用条件中的定义与解释相同。</w:t>
      </w:r>
      <w:bookmarkEnd w:id="19"/>
    </w:p>
    <w:p>
      <w:pPr>
        <w:pStyle w:val="7"/>
        <w:spacing w:before="0" w:after="0" w:line="360" w:lineRule="auto"/>
        <w:ind w:firstLine="643" w:firstLineChars="200"/>
        <w:jc w:val="left"/>
        <w:rPr>
          <w:rFonts w:hint="eastAsia" w:ascii="仿宋" w:hAnsi="仿宋" w:eastAsia="仿宋" w:cs="仿宋"/>
          <w:sz w:val="32"/>
          <w:szCs w:val="32"/>
        </w:rPr>
      </w:pPr>
      <w:bookmarkStart w:id="20" w:name="_Toc419045063"/>
      <w:bookmarkStart w:id="21" w:name="_Toc422322478"/>
      <w:r>
        <w:rPr>
          <w:rFonts w:hint="eastAsia" w:ascii="仿宋" w:hAnsi="仿宋" w:eastAsia="仿宋" w:cs="仿宋"/>
          <w:sz w:val="32"/>
          <w:szCs w:val="32"/>
        </w:rPr>
        <w:t>八、合同订立</w:t>
      </w:r>
      <w:bookmarkEnd w:id="20"/>
      <w:bookmarkEnd w:id="21"/>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1.订立时间：</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2.订立地点：</w:t>
      </w:r>
      <w:r>
        <w:rPr>
          <w:rFonts w:hint="eastAsia" w:ascii="仿宋" w:hAnsi="仿宋" w:eastAsia="仿宋" w:cs="仿宋"/>
          <w:sz w:val="32"/>
          <w:szCs w:val="32"/>
          <w:u w:val="single"/>
        </w:rPr>
        <w:t xml:space="preserve">                   </w:t>
      </w:r>
    </w:p>
    <w:p>
      <w:pPr>
        <w:pStyle w:val="7"/>
        <w:spacing w:before="0" w:after="0" w:line="360" w:lineRule="auto"/>
        <w:ind w:firstLine="643" w:firstLineChars="200"/>
        <w:jc w:val="left"/>
        <w:rPr>
          <w:rFonts w:hint="eastAsia" w:ascii="仿宋" w:hAnsi="仿宋" w:eastAsia="仿宋" w:cs="仿宋"/>
          <w:sz w:val="32"/>
          <w:szCs w:val="32"/>
        </w:rPr>
      </w:pPr>
      <w:bookmarkStart w:id="22" w:name="_Toc419045064"/>
      <w:bookmarkStart w:id="23" w:name="_Toc422322479"/>
      <w:r>
        <w:rPr>
          <w:rFonts w:hint="eastAsia" w:ascii="仿宋" w:hAnsi="仿宋" w:eastAsia="仿宋" w:cs="仿宋"/>
          <w:sz w:val="32"/>
          <w:szCs w:val="32"/>
        </w:rPr>
        <w:t>九、合同生效</w:t>
      </w:r>
      <w:bookmarkEnd w:id="22"/>
      <w:bookmarkEnd w:id="23"/>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本合同自</w:t>
      </w:r>
      <w:r>
        <w:rPr>
          <w:rFonts w:hint="eastAsia" w:ascii="仿宋" w:hAnsi="仿宋" w:eastAsia="仿宋" w:cs="仿宋"/>
          <w:sz w:val="32"/>
          <w:szCs w:val="32"/>
          <w:u w:val="single"/>
        </w:rPr>
        <w:t xml:space="preserve">                      </w:t>
      </w:r>
      <w:r>
        <w:rPr>
          <w:rFonts w:hint="eastAsia" w:ascii="仿宋" w:hAnsi="仿宋" w:eastAsia="仿宋" w:cs="仿宋"/>
          <w:sz w:val="32"/>
          <w:szCs w:val="32"/>
        </w:rPr>
        <w:t>起生效。</w:t>
      </w:r>
    </w:p>
    <w:p>
      <w:pPr>
        <w:pStyle w:val="7"/>
        <w:spacing w:before="0" w:after="0" w:line="360" w:lineRule="auto"/>
        <w:ind w:firstLine="643" w:firstLineChars="200"/>
        <w:jc w:val="left"/>
        <w:rPr>
          <w:rFonts w:hint="eastAsia" w:ascii="仿宋" w:hAnsi="仿宋" w:eastAsia="仿宋" w:cs="仿宋"/>
          <w:sz w:val="32"/>
          <w:szCs w:val="32"/>
        </w:rPr>
      </w:pPr>
      <w:bookmarkStart w:id="24" w:name="_Toc419045065"/>
      <w:bookmarkStart w:id="25" w:name="_Toc422322480"/>
      <w:r>
        <w:rPr>
          <w:rFonts w:hint="eastAsia" w:ascii="仿宋" w:hAnsi="仿宋" w:eastAsia="仿宋" w:cs="仿宋"/>
          <w:sz w:val="32"/>
          <w:szCs w:val="32"/>
        </w:rPr>
        <w:t>十、合同份数</w:t>
      </w:r>
      <w:bookmarkEnd w:id="24"/>
      <w:bookmarkEnd w:id="25"/>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本合同一式</w:t>
      </w:r>
      <w:r>
        <w:rPr>
          <w:rFonts w:hint="eastAsia" w:ascii="仿宋" w:hAnsi="仿宋" w:eastAsia="仿宋" w:cs="仿宋"/>
          <w:sz w:val="32"/>
          <w:szCs w:val="32"/>
          <w:u w:val="single"/>
        </w:rPr>
        <w:t xml:space="preserve">    </w:t>
      </w:r>
      <w:r>
        <w:rPr>
          <w:rFonts w:hint="eastAsia" w:ascii="仿宋" w:hAnsi="仿宋" w:eastAsia="仿宋" w:cs="仿宋"/>
          <w:sz w:val="32"/>
          <w:szCs w:val="32"/>
        </w:rPr>
        <w:t>份，具有同等法律效力，其中委托人执</w:t>
      </w:r>
      <w:r>
        <w:rPr>
          <w:rFonts w:hint="eastAsia" w:ascii="仿宋" w:hAnsi="仿宋" w:eastAsia="仿宋" w:cs="仿宋"/>
          <w:sz w:val="32"/>
          <w:szCs w:val="32"/>
          <w:u w:val="single"/>
        </w:rPr>
        <w:t xml:space="preserve">    </w:t>
      </w:r>
      <w:r>
        <w:rPr>
          <w:rFonts w:hint="eastAsia" w:ascii="仿宋" w:hAnsi="仿宋" w:eastAsia="仿宋" w:cs="仿宋"/>
          <w:sz w:val="32"/>
          <w:szCs w:val="32"/>
        </w:rPr>
        <w:t>份，咨询人执</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pStyle w:val="12"/>
        <w:spacing w:line="360" w:lineRule="auto"/>
        <w:rPr>
          <w:rFonts w:hint="eastAsia" w:ascii="仿宋" w:hAnsi="仿宋" w:eastAsia="仿宋" w:cs="仿宋"/>
          <w:sz w:val="32"/>
          <w:szCs w:val="32"/>
        </w:rPr>
      </w:pPr>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委托人：     （盖章）咨询人：___________（盖章）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p>
    <w:p>
      <w:pPr>
        <w:pStyle w:val="1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法定代表人或其授权的                  法定代表人或其授权的</w:t>
      </w:r>
    </w:p>
    <w:p>
      <w:pPr>
        <w:pStyle w:val="12"/>
        <w:spacing w:line="360" w:lineRule="auto"/>
        <w:ind w:firstLine="480"/>
        <w:rPr>
          <w:rFonts w:hint="eastAsia" w:ascii="仿宋" w:hAnsi="仿宋" w:eastAsia="仿宋" w:cs="仿宋"/>
          <w:sz w:val="32"/>
          <w:szCs w:val="32"/>
        </w:rPr>
      </w:pPr>
    </w:p>
    <w:p>
      <w:pPr>
        <w:pStyle w:val="12"/>
        <w:spacing w:line="360" w:lineRule="auto"/>
        <w:ind w:firstLine="480"/>
        <w:rPr>
          <w:rFonts w:hint="eastAsia" w:ascii="仿宋" w:hAnsi="仿宋" w:eastAsia="仿宋" w:cs="仿宋"/>
          <w:sz w:val="32"/>
          <w:szCs w:val="32"/>
        </w:rPr>
      </w:pPr>
      <w:r>
        <w:rPr>
          <w:rFonts w:hint="eastAsia" w:ascii="仿宋" w:hAnsi="仿宋" w:eastAsia="仿宋" w:cs="仿宋"/>
          <w:sz w:val="32"/>
          <w:szCs w:val="32"/>
        </w:rPr>
        <w:t>代理人：_________（签字）           代理人：_________（签字）</w:t>
      </w:r>
    </w:p>
    <w:p>
      <w:pPr>
        <w:pStyle w:val="12"/>
        <w:spacing w:line="360" w:lineRule="auto"/>
        <w:ind w:firstLine="480"/>
        <w:rPr>
          <w:rFonts w:hint="eastAsia" w:ascii="仿宋" w:hAnsi="仿宋" w:eastAsia="仿宋" w:cs="仿宋"/>
          <w:sz w:val="32"/>
          <w:szCs w:val="32"/>
        </w:rPr>
      </w:pPr>
    </w:p>
    <w:p>
      <w:pPr>
        <w:pStyle w:val="12"/>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组织机构代码：                      统一社会信用代码：91330300704318914M </w:t>
      </w:r>
    </w:p>
    <w:p>
      <w:pPr>
        <w:pStyle w:val="12"/>
        <w:spacing w:line="360" w:lineRule="auto"/>
        <w:ind w:firstLine="480"/>
        <w:rPr>
          <w:rFonts w:hint="eastAsia" w:ascii="仿宋" w:hAnsi="仿宋" w:eastAsia="仿宋" w:cs="仿宋"/>
          <w:sz w:val="32"/>
          <w:szCs w:val="32"/>
        </w:rPr>
      </w:pPr>
    </w:p>
    <w:p>
      <w:pPr>
        <w:pStyle w:val="12"/>
        <w:spacing w:line="360" w:lineRule="auto"/>
        <w:ind w:firstLine="480"/>
        <w:rPr>
          <w:rFonts w:hint="eastAsia" w:ascii="仿宋" w:hAnsi="仿宋" w:eastAsia="仿宋" w:cs="仿宋"/>
          <w:sz w:val="32"/>
          <w:szCs w:val="32"/>
        </w:rPr>
      </w:pPr>
      <w:r>
        <w:rPr>
          <w:rFonts w:hint="eastAsia" w:ascii="仿宋" w:hAnsi="仿宋" w:eastAsia="仿宋" w:cs="仿宋"/>
          <w:sz w:val="32"/>
          <w:szCs w:val="32"/>
        </w:rPr>
        <w:t>纳税人识别码：                      纳税人识别码：</w:t>
      </w:r>
    </w:p>
    <w:p>
      <w:pPr>
        <w:pStyle w:val="12"/>
        <w:spacing w:line="360" w:lineRule="auto"/>
        <w:ind w:left="2500" w:leftChars="200" w:right="-546" w:rightChars="-260" w:hanging="2080" w:hangingChars="650"/>
        <w:rPr>
          <w:rFonts w:hint="eastAsia" w:ascii="仿宋" w:hAnsi="仿宋" w:eastAsia="仿宋" w:cs="仿宋"/>
          <w:sz w:val="32"/>
          <w:szCs w:val="32"/>
        </w:rPr>
      </w:pPr>
    </w:p>
    <w:p>
      <w:pPr>
        <w:pStyle w:val="12"/>
        <w:spacing w:line="360" w:lineRule="auto"/>
        <w:ind w:right="-546" w:rightChars="-260" w:firstLine="640" w:firstLineChars="200"/>
        <w:rPr>
          <w:rFonts w:hint="eastAsia" w:ascii="仿宋" w:hAnsi="仿宋" w:eastAsia="仿宋" w:cs="仿宋"/>
          <w:sz w:val="32"/>
          <w:szCs w:val="32"/>
        </w:rPr>
      </w:pPr>
      <w:r>
        <w:rPr>
          <w:rFonts w:hint="eastAsia" w:ascii="仿宋" w:hAnsi="仿宋" w:eastAsia="仿宋" w:cs="仿宋"/>
          <w:sz w:val="32"/>
          <w:szCs w:val="32"/>
        </w:rPr>
        <w:t xml:space="preserve">住    所：                          住 所：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账    号：                             账    号：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开户银行：                          开户银行：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邮政编码：                          邮政编码：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    话：                          电    话：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传    真：                          传    真：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电子信箱：                          电子信箱：</w:t>
      </w:r>
      <w:bookmarkEnd w:id="14"/>
      <w:bookmarkStart w:id="26" w:name="_Toc419045066"/>
      <w:bookmarkStart w:id="27" w:name="_Toc422322481"/>
      <w:r>
        <w:rPr>
          <w:rFonts w:hint="eastAsia" w:ascii="仿宋" w:hAnsi="仿宋" w:eastAsia="仿宋" w:cs="仿宋"/>
          <w:sz w:val="32"/>
          <w:szCs w:val="32"/>
        </w:rPr>
        <w:t xml:space="preserve"> </w:t>
      </w:r>
    </w:p>
    <w:p>
      <w:pPr>
        <w:pStyle w:val="2"/>
        <w:spacing w:after="120"/>
        <w:rPr>
          <w:rFonts w:hint="eastAsia" w:ascii="仿宋" w:hAnsi="仿宋" w:eastAsia="仿宋" w:cs="仿宋"/>
          <w:sz w:val="32"/>
          <w:szCs w:val="32"/>
        </w:rPr>
      </w:pPr>
    </w:p>
    <w:p>
      <w:pPr>
        <w:pStyle w:val="2"/>
        <w:spacing w:after="120"/>
        <w:jc w:val="center"/>
        <w:rPr>
          <w:rFonts w:hint="eastAsia" w:ascii="仿宋" w:hAnsi="仿宋" w:eastAsia="仿宋" w:cs="仿宋"/>
          <w:sz w:val="32"/>
          <w:szCs w:val="32"/>
        </w:rPr>
      </w:pPr>
    </w:p>
    <w:p>
      <w:pPr>
        <w:pStyle w:val="2"/>
        <w:spacing w:after="120"/>
        <w:jc w:val="center"/>
        <w:rPr>
          <w:rFonts w:hint="eastAsia" w:ascii="仿宋" w:hAnsi="仿宋" w:eastAsia="仿宋" w:cs="仿宋"/>
          <w:sz w:val="32"/>
          <w:szCs w:val="32"/>
        </w:rPr>
      </w:pPr>
      <w:r>
        <w:rPr>
          <w:rFonts w:hint="eastAsia" w:ascii="仿宋" w:hAnsi="仿宋" w:eastAsia="仿宋" w:cs="仿宋"/>
          <w:sz w:val="32"/>
          <w:szCs w:val="32"/>
        </w:rPr>
        <w:t>第二部分　通用条件</w:t>
      </w:r>
      <w:bookmarkEnd w:id="26"/>
      <w:bookmarkEnd w:id="27"/>
      <w:r>
        <w:rPr>
          <w:rFonts w:hint="eastAsia" w:ascii="仿宋" w:hAnsi="仿宋" w:eastAsia="仿宋" w:cs="仿宋"/>
          <w:sz w:val="32"/>
          <w:szCs w:val="32"/>
        </w:rPr>
        <w:t>（略）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p>
      <w:pPr>
        <w:pStyle w:val="2"/>
        <w:spacing w:after="120"/>
        <w:jc w:val="center"/>
        <w:rPr>
          <w:rFonts w:hint="eastAsia" w:ascii="仿宋" w:hAnsi="仿宋" w:eastAsia="仿宋" w:cs="仿宋"/>
          <w:sz w:val="32"/>
          <w:szCs w:val="32"/>
        </w:rPr>
      </w:pPr>
      <w:bookmarkStart w:id="28" w:name="_Toc422322521"/>
      <w:bookmarkStart w:id="29" w:name="_Toc419045098"/>
      <w:r>
        <w:rPr>
          <w:rFonts w:hint="eastAsia" w:ascii="仿宋" w:hAnsi="仿宋" w:eastAsia="仿宋" w:cs="仿宋"/>
          <w:sz w:val="32"/>
          <w:szCs w:val="32"/>
        </w:rPr>
        <w:t>第三部分　专用条件</w:t>
      </w:r>
      <w:bookmarkEnd w:id="28"/>
      <w:bookmarkEnd w:id="29"/>
      <w:bookmarkStart w:id="30" w:name="45"/>
    </w:p>
    <w:bookmarkEnd w:id="30"/>
    <w:p>
      <w:pPr>
        <w:pStyle w:val="7"/>
        <w:spacing w:before="0" w:after="0" w:line="360" w:lineRule="auto"/>
        <w:ind w:firstLine="643" w:firstLineChars="200"/>
        <w:jc w:val="left"/>
        <w:rPr>
          <w:rStyle w:val="15"/>
          <w:rFonts w:hint="eastAsia" w:ascii="仿宋" w:hAnsi="仿宋" w:eastAsia="仿宋" w:cs="仿宋"/>
          <w:b/>
          <w:bCs w:val="0"/>
          <w:sz w:val="32"/>
          <w:szCs w:val="32"/>
        </w:rPr>
      </w:pPr>
      <w:bookmarkStart w:id="31" w:name="_Toc422322522"/>
      <w:bookmarkStart w:id="32" w:name="_Toc419045099"/>
      <w:r>
        <w:rPr>
          <w:rStyle w:val="15"/>
          <w:rFonts w:hint="eastAsia" w:ascii="仿宋" w:hAnsi="仿宋" w:eastAsia="仿宋" w:cs="仿宋"/>
          <w:b/>
          <w:bCs w:val="0"/>
          <w:sz w:val="32"/>
          <w:szCs w:val="32"/>
        </w:rPr>
        <w:t>1.词语定义、语言、解释顺序与适用法律</w:t>
      </w:r>
      <w:bookmarkEnd w:id="31"/>
      <w:bookmarkEnd w:id="32"/>
    </w:p>
    <w:p>
      <w:pPr>
        <w:spacing w:line="360" w:lineRule="auto"/>
        <w:ind w:firstLine="468"/>
        <w:rPr>
          <w:rStyle w:val="15"/>
          <w:rFonts w:hint="eastAsia" w:ascii="仿宋" w:hAnsi="仿宋" w:eastAsia="仿宋" w:cs="仿宋"/>
          <w:b w:val="0"/>
          <w:sz w:val="32"/>
          <w:szCs w:val="32"/>
        </w:rPr>
      </w:pPr>
      <w:bookmarkStart w:id="33" w:name="_Toc419045101"/>
      <w:bookmarkStart w:id="34" w:name="_Toc422322524"/>
      <w:r>
        <w:rPr>
          <w:rStyle w:val="15"/>
          <w:rFonts w:hint="eastAsia" w:ascii="仿宋" w:hAnsi="仿宋" w:eastAsia="仿宋" w:cs="仿宋"/>
          <w:b w:val="0"/>
          <w:sz w:val="32"/>
          <w:szCs w:val="32"/>
        </w:rPr>
        <w:t>1.2 语言</w:t>
      </w:r>
      <w:bookmarkEnd w:id="33"/>
      <w:bookmarkEnd w:id="34"/>
      <w:r>
        <w:rPr>
          <w:rFonts w:hint="eastAsia" w:ascii="仿宋" w:hAnsi="仿宋" w:eastAsia="仿宋" w:cs="仿宋"/>
          <w:sz w:val="32"/>
          <w:szCs w:val="32"/>
        </w:rPr>
        <w:br w:type="textWrapping"/>
      </w:r>
      <w:r>
        <w:rPr>
          <w:rFonts w:hint="eastAsia" w:ascii="仿宋" w:hAnsi="仿宋" w:eastAsia="仿宋" w:cs="仿宋"/>
          <w:sz w:val="32"/>
          <w:szCs w:val="32"/>
        </w:rPr>
        <w:t xml:space="preserve">     本合同文件除使用中文外，还可用</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5"/>
        <w:spacing w:before="60"/>
        <w:ind w:firstLine="640" w:firstLineChars="200"/>
        <w:jc w:val="left"/>
        <w:rPr>
          <w:rFonts w:hint="eastAsia" w:ascii="仿宋" w:hAnsi="仿宋" w:eastAsia="仿宋" w:cs="仿宋"/>
          <w:b w:val="0"/>
          <w:sz w:val="32"/>
          <w:szCs w:val="32"/>
        </w:rPr>
      </w:pPr>
      <w:bookmarkStart w:id="35" w:name="_Toc422322525"/>
      <w:r>
        <w:rPr>
          <w:rFonts w:hint="eastAsia" w:ascii="仿宋" w:hAnsi="仿宋" w:eastAsia="仿宋" w:cs="仿宋"/>
          <w:b w:val="0"/>
          <w:sz w:val="32"/>
          <w:szCs w:val="32"/>
        </w:rPr>
        <w:t>1.3合同文件的优先顺序</w:t>
      </w:r>
      <w:bookmarkEnd w:id="35"/>
    </w:p>
    <w:p>
      <w:pPr>
        <w:spacing w:line="360" w:lineRule="auto"/>
        <w:ind w:firstLine="468"/>
        <w:rPr>
          <w:rStyle w:val="15"/>
          <w:rFonts w:hint="eastAsia" w:ascii="仿宋" w:hAnsi="仿宋" w:eastAsia="仿宋" w:cs="仿宋"/>
          <w:sz w:val="32"/>
          <w:szCs w:val="32"/>
        </w:rPr>
      </w:pPr>
      <w:r>
        <w:rPr>
          <w:rFonts w:hint="eastAsia" w:ascii="仿宋" w:hAnsi="仿宋" w:eastAsia="仿宋" w:cs="仿宋"/>
          <w:sz w:val="32"/>
          <w:szCs w:val="32"/>
        </w:rPr>
        <w:t>本合同文件的解释顺序为：</w:t>
      </w:r>
      <w:r>
        <w:rPr>
          <w:rFonts w:hint="eastAsia" w:ascii="仿宋" w:hAnsi="仿宋" w:eastAsia="仿宋" w:cs="仿宋"/>
          <w:sz w:val="32"/>
          <w:szCs w:val="32"/>
          <w:u w:val="single"/>
        </w:rPr>
        <w:t>补充合同，本合同协议书，中标通知书或委托书（如有），投标函及投标函附录或造价咨询服务建议书（如有），本合同通用条件，招标文件（如有）</w:t>
      </w:r>
      <w:r>
        <w:rPr>
          <w:rFonts w:hint="eastAsia" w:ascii="仿宋" w:hAnsi="仿宋" w:eastAsia="仿宋" w:cs="仿宋"/>
          <w:sz w:val="32"/>
          <w:szCs w:val="32"/>
        </w:rPr>
        <w:t>。</w:t>
      </w:r>
    </w:p>
    <w:p>
      <w:pPr>
        <w:spacing w:line="360" w:lineRule="auto"/>
        <w:ind w:firstLine="640" w:firstLineChars="200"/>
        <w:rPr>
          <w:rStyle w:val="15"/>
          <w:rFonts w:hint="eastAsia" w:ascii="仿宋" w:hAnsi="仿宋" w:eastAsia="仿宋" w:cs="仿宋"/>
          <w:b w:val="0"/>
          <w:sz w:val="32"/>
          <w:szCs w:val="32"/>
        </w:rPr>
      </w:pPr>
      <w:bookmarkStart w:id="36" w:name="_Toc419045102"/>
      <w:bookmarkStart w:id="37" w:name="_Toc422322526"/>
      <w:r>
        <w:rPr>
          <w:rStyle w:val="15"/>
          <w:rFonts w:hint="eastAsia" w:ascii="仿宋" w:hAnsi="仿宋" w:eastAsia="仿宋" w:cs="仿宋"/>
          <w:b w:val="0"/>
          <w:sz w:val="32"/>
          <w:szCs w:val="32"/>
        </w:rPr>
        <w:t>1.4适用法律</w:t>
      </w:r>
      <w:bookmarkEnd w:id="36"/>
      <w:bookmarkEnd w:id="3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本合同适用的其他规范性文件包括:</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7"/>
        <w:spacing w:before="0" w:after="0" w:line="360" w:lineRule="auto"/>
        <w:ind w:firstLine="643" w:firstLineChars="200"/>
        <w:jc w:val="left"/>
        <w:rPr>
          <w:rFonts w:hint="eastAsia" w:ascii="仿宋" w:hAnsi="仿宋" w:eastAsia="仿宋" w:cs="仿宋"/>
          <w:sz w:val="32"/>
          <w:szCs w:val="32"/>
        </w:rPr>
      </w:pPr>
      <w:bookmarkStart w:id="38" w:name="_Toc422322527"/>
      <w:bookmarkStart w:id="39" w:name="_Toc419045103"/>
      <w:r>
        <w:rPr>
          <w:rFonts w:hint="eastAsia" w:ascii="仿宋" w:hAnsi="仿宋" w:eastAsia="仿宋" w:cs="仿宋"/>
          <w:sz w:val="32"/>
          <w:szCs w:val="32"/>
        </w:rPr>
        <w:t>2.委托人的义务</w:t>
      </w:r>
      <w:bookmarkEnd w:id="38"/>
      <w:bookmarkEnd w:id="39"/>
    </w:p>
    <w:p>
      <w:pPr>
        <w:spacing w:line="360" w:lineRule="auto"/>
        <w:ind w:firstLine="468"/>
        <w:rPr>
          <w:rStyle w:val="15"/>
          <w:rFonts w:hint="eastAsia" w:ascii="仿宋" w:hAnsi="仿宋" w:eastAsia="仿宋" w:cs="仿宋"/>
          <w:b w:val="0"/>
          <w:sz w:val="32"/>
          <w:szCs w:val="32"/>
        </w:rPr>
      </w:pPr>
      <w:bookmarkStart w:id="40" w:name="_Toc422322528"/>
      <w:bookmarkStart w:id="41" w:name="_Toc419045104"/>
      <w:r>
        <w:rPr>
          <w:rStyle w:val="15"/>
          <w:rFonts w:hint="eastAsia" w:ascii="仿宋" w:hAnsi="仿宋" w:eastAsia="仿宋" w:cs="仿宋"/>
          <w:b w:val="0"/>
          <w:sz w:val="32"/>
          <w:szCs w:val="32"/>
        </w:rPr>
        <w:t>2.1提供资料</w:t>
      </w:r>
      <w:bookmarkEnd w:id="40"/>
      <w:bookmarkEnd w:id="4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委托人按照附录C约定无偿向咨询人提供与本合同咨询业务有关资料的时间为：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468"/>
        <w:rPr>
          <w:rStyle w:val="15"/>
          <w:rFonts w:hint="eastAsia" w:ascii="仿宋" w:hAnsi="仿宋" w:eastAsia="仿宋" w:cs="仿宋"/>
          <w:b w:val="0"/>
          <w:sz w:val="32"/>
          <w:szCs w:val="32"/>
        </w:rPr>
      </w:pPr>
      <w:bookmarkStart w:id="42" w:name="_Toc419045105"/>
      <w:bookmarkStart w:id="43" w:name="_Toc422322529"/>
      <w:r>
        <w:rPr>
          <w:rStyle w:val="15"/>
          <w:rFonts w:hint="eastAsia" w:ascii="仿宋" w:hAnsi="仿宋" w:eastAsia="仿宋" w:cs="仿宋"/>
          <w:b w:val="0"/>
          <w:sz w:val="32"/>
          <w:szCs w:val="32"/>
        </w:rPr>
        <w:t>2.2提供工作条件</w:t>
      </w:r>
      <w:bookmarkEnd w:id="42"/>
      <w:bookmarkEnd w:id="43"/>
    </w:p>
    <w:p>
      <w:pPr>
        <w:spacing w:line="360" w:lineRule="auto"/>
        <w:ind w:left="740" w:leftChars="200" w:hanging="320" w:hangingChars="100"/>
        <w:rPr>
          <w:rFonts w:hint="eastAsia" w:ascii="仿宋" w:hAnsi="仿宋" w:eastAsia="仿宋" w:cs="仿宋"/>
          <w:sz w:val="32"/>
          <w:szCs w:val="32"/>
        </w:rPr>
      </w:pPr>
      <w:r>
        <w:rPr>
          <w:rFonts w:hint="eastAsia" w:ascii="仿宋" w:hAnsi="仿宋" w:eastAsia="仿宋" w:cs="仿宋"/>
          <w:sz w:val="32"/>
          <w:szCs w:val="32"/>
        </w:rPr>
        <w:t>2.2.1项目咨询人员使用附录D中由委托人提供的房屋及设备，支付使用费的标准</w:t>
      </w:r>
    </w:p>
    <w:p>
      <w:pPr>
        <w:spacing w:line="360" w:lineRule="auto"/>
        <w:ind w:left="740" w:leftChars="200" w:hanging="320" w:hangingChars="100"/>
        <w:rPr>
          <w:rFonts w:hint="eastAsia" w:ascii="仿宋" w:hAnsi="仿宋" w:eastAsia="仿宋" w:cs="仿宋"/>
          <w:sz w:val="32"/>
          <w:szCs w:val="32"/>
        </w:rPr>
      </w:pP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bookmarkStart w:id="44" w:name="_Toc419045106"/>
      <w:bookmarkStart w:id="45" w:name="_Toc422322530"/>
      <w:r>
        <w:rPr>
          <w:rStyle w:val="15"/>
          <w:rFonts w:hint="eastAsia" w:ascii="仿宋" w:hAnsi="仿宋" w:eastAsia="仿宋" w:cs="仿宋"/>
          <w:b w:val="0"/>
          <w:sz w:val="32"/>
          <w:szCs w:val="32"/>
        </w:rPr>
        <w:t>2.4委托人代表</w:t>
      </w:r>
      <w:bookmarkEnd w:id="44"/>
      <w:bookmarkEnd w:id="45"/>
      <w:r>
        <w:rPr>
          <w:rFonts w:hint="eastAsia" w:ascii="仿宋" w:hAnsi="仿宋" w:eastAsia="仿宋" w:cs="仿宋"/>
          <w:sz w:val="32"/>
          <w:szCs w:val="32"/>
        </w:rPr>
        <w:br w:type="textWrapping"/>
      </w:r>
      <w:r>
        <w:rPr>
          <w:rFonts w:hint="eastAsia" w:ascii="仿宋" w:hAnsi="仿宋" w:eastAsia="仿宋" w:cs="仿宋"/>
          <w:sz w:val="32"/>
          <w:szCs w:val="32"/>
        </w:rPr>
        <w:t xml:space="preserve">    委托人代表为：__________________，其权限范围：</w:t>
      </w:r>
      <w:r>
        <w:rPr>
          <w:rFonts w:hint="eastAsia" w:ascii="仿宋" w:hAnsi="仿宋" w:eastAsia="仿宋" w:cs="仿宋"/>
          <w:sz w:val="32"/>
          <w:szCs w:val="32"/>
          <w:u w:val="single"/>
        </w:rPr>
        <w:t xml:space="preserve">                                 </w:t>
      </w:r>
    </w:p>
    <w:p>
      <w:pPr>
        <w:pStyle w:val="5"/>
        <w:spacing w:before="60"/>
        <w:ind w:firstLine="640" w:firstLineChars="200"/>
        <w:jc w:val="left"/>
        <w:rPr>
          <w:rFonts w:hint="eastAsia" w:ascii="仿宋" w:hAnsi="仿宋" w:eastAsia="仿宋" w:cs="仿宋"/>
          <w:b w:val="0"/>
          <w:sz w:val="32"/>
          <w:szCs w:val="32"/>
        </w:rPr>
      </w:pPr>
      <w:bookmarkStart w:id="46" w:name="_Toc422322531"/>
      <w:r>
        <w:rPr>
          <w:rFonts w:hint="eastAsia" w:ascii="仿宋" w:hAnsi="仿宋" w:eastAsia="仿宋" w:cs="仿宋"/>
          <w:b w:val="0"/>
          <w:sz w:val="32"/>
          <w:szCs w:val="32"/>
        </w:rPr>
        <w:t>2.5答复</w:t>
      </w:r>
      <w:bookmarkEnd w:id="46"/>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委托人同意在</w:t>
      </w:r>
      <w:r>
        <w:rPr>
          <w:rFonts w:hint="eastAsia" w:ascii="仿宋" w:hAnsi="仿宋" w:eastAsia="仿宋" w:cs="仿宋"/>
          <w:sz w:val="32"/>
          <w:szCs w:val="32"/>
          <w:u w:val="single"/>
        </w:rPr>
        <w:t xml:space="preserve">  7  </w:t>
      </w:r>
      <w:r>
        <w:rPr>
          <w:rFonts w:hint="eastAsia" w:ascii="仿宋" w:hAnsi="仿宋" w:eastAsia="仿宋" w:cs="仿宋"/>
          <w:sz w:val="32"/>
          <w:szCs w:val="32"/>
        </w:rPr>
        <w:t>日内，对咨询人书面提交并要求做出决定的事宜给予书面答复。逾期未答复的，视为委托人认可。</w:t>
      </w:r>
    </w:p>
    <w:p>
      <w:pPr>
        <w:pStyle w:val="7"/>
        <w:spacing w:before="0" w:after="0" w:line="360" w:lineRule="auto"/>
        <w:ind w:firstLine="643" w:firstLineChars="200"/>
        <w:jc w:val="left"/>
        <w:rPr>
          <w:rFonts w:hint="eastAsia" w:ascii="仿宋" w:hAnsi="仿宋" w:eastAsia="仿宋" w:cs="仿宋"/>
          <w:sz w:val="32"/>
          <w:szCs w:val="32"/>
        </w:rPr>
      </w:pPr>
      <w:bookmarkStart w:id="47" w:name="_Toc422322532"/>
      <w:bookmarkStart w:id="48" w:name="_Toc419045107"/>
      <w:r>
        <w:rPr>
          <w:rFonts w:hint="eastAsia" w:ascii="仿宋" w:hAnsi="仿宋" w:eastAsia="仿宋" w:cs="仿宋"/>
          <w:sz w:val="32"/>
          <w:szCs w:val="32"/>
        </w:rPr>
        <w:t>3.咨询人的义务</w:t>
      </w:r>
      <w:bookmarkEnd w:id="47"/>
      <w:bookmarkEnd w:id="48"/>
    </w:p>
    <w:p>
      <w:pPr>
        <w:pStyle w:val="5"/>
        <w:spacing w:before="60"/>
        <w:ind w:firstLine="640" w:firstLineChars="200"/>
        <w:jc w:val="left"/>
        <w:rPr>
          <w:rFonts w:hint="eastAsia" w:ascii="仿宋" w:hAnsi="仿宋" w:eastAsia="仿宋" w:cs="仿宋"/>
          <w:b w:val="0"/>
          <w:sz w:val="32"/>
          <w:szCs w:val="32"/>
        </w:rPr>
      </w:pPr>
      <w:bookmarkStart w:id="49" w:name="_Toc422322533"/>
      <w:bookmarkStart w:id="50" w:name="_Toc419045109"/>
      <w:r>
        <w:rPr>
          <w:rFonts w:hint="eastAsia" w:ascii="仿宋" w:hAnsi="仿宋" w:eastAsia="仿宋" w:cs="仿宋"/>
          <w:b w:val="0"/>
          <w:sz w:val="32"/>
          <w:szCs w:val="32"/>
        </w:rPr>
        <w:t>3.1项目咨询团队及人员</w:t>
      </w:r>
      <w:bookmarkEnd w:id="49"/>
      <w:bookmarkEnd w:id="50"/>
    </w:p>
    <w:p>
      <w:pPr>
        <w:spacing w:line="360" w:lineRule="auto"/>
        <w:ind w:right="-991" w:rightChars="-472" w:firstLine="640" w:firstLineChars="200"/>
        <w:rPr>
          <w:rFonts w:hint="eastAsia" w:ascii="仿宋" w:hAnsi="仿宋" w:eastAsia="仿宋" w:cs="仿宋"/>
          <w:sz w:val="32"/>
          <w:szCs w:val="32"/>
        </w:rPr>
      </w:pPr>
      <w:r>
        <w:rPr>
          <w:rFonts w:hint="eastAsia" w:ascii="仿宋" w:hAnsi="仿宋" w:eastAsia="仿宋" w:cs="仿宋"/>
          <w:sz w:val="32"/>
          <w:szCs w:val="32"/>
        </w:rPr>
        <w:t>3.1.1项目咨询团队的主要人员应具有</w:t>
      </w:r>
      <w:r>
        <w:rPr>
          <w:rFonts w:hint="eastAsia" w:ascii="仿宋" w:hAnsi="仿宋" w:eastAsia="仿宋" w:cs="仿宋"/>
          <w:sz w:val="32"/>
          <w:szCs w:val="32"/>
          <w:u w:val="single"/>
        </w:rPr>
        <w:t xml:space="preserve">       </w:t>
      </w:r>
      <w:r>
        <w:rPr>
          <w:rFonts w:hint="eastAsia" w:ascii="仿宋" w:hAnsi="仿宋" w:eastAsia="仿宋" w:cs="仿宋"/>
          <w:sz w:val="32"/>
          <w:szCs w:val="32"/>
        </w:rPr>
        <w:t>资格条件，团队人员的数量为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3.1.2项目负责人为：</w:t>
      </w:r>
      <w:r>
        <w:rPr>
          <w:rFonts w:hint="eastAsia" w:ascii="仿宋" w:hAnsi="仿宋" w:eastAsia="仿宋" w:cs="仿宋"/>
          <w:sz w:val="32"/>
          <w:szCs w:val="32"/>
          <w:u w:val="single"/>
        </w:rPr>
        <w:t xml:space="preserve">      </w:t>
      </w:r>
      <w:r>
        <w:rPr>
          <w:rFonts w:hint="eastAsia" w:ascii="仿宋" w:hAnsi="仿宋" w:eastAsia="仿宋" w:cs="仿宋"/>
          <w:sz w:val="32"/>
          <w:szCs w:val="32"/>
        </w:rPr>
        <w:t>，项目负责人为履行本合同的权限为：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12"/>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3.1.3咨询人更换项目咨询团队其他咨询人员的约定：</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3.1.4委托人要求更换咨询人员的情形还包括：</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5"/>
        <w:spacing w:before="60"/>
        <w:ind w:firstLine="640" w:firstLineChars="200"/>
        <w:jc w:val="left"/>
        <w:rPr>
          <w:rFonts w:hint="eastAsia" w:ascii="仿宋" w:hAnsi="仿宋" w:eastAsia="仿宋" w:cs="仿宋"/>
          <w:b w:val="0"/>
          <w:sz w:val="32"/>
          <w:szCs w:val="32"/>
        </w:rPr>
      </w:pPr>
      <w:bookmarkStart w:id="51" w:name="_Toc419045110"/>
      <w:bookmarkStart w:id="52" w:name="_Toc422322534"/>
      <w:r>
        <w:rPr>
          <w:rFonts w:hint="eastAsia" w:ascii="仿宋" w:hAnsi="仿宋" w:eastAsia="仿宋" w:cs="仿宋"/>
          <w:b w:val="0"/>
          <w:sz w:val="32"/>
          <w:szCs w:val="32"/>
        </w:rPr>
        <w:t>3.2咨询人的工作要求</w:t>
      </w:r>
      <w:bookmarkEnd w:id="51"/>
      <w:bookmarkEnd w:id="52"/>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3.2.1咨询人向委托人提供有关资料的时间：</w:t>
      </w:r>
      <w:r>
        <w:rPr>
          <w:rFonts w:hint="eastAsia" w:ascii="仿宋" w:hAnsi="仿宋" w:eastAsia="仿宋" w:cs="仿宋"/>
          <w:sz w:val="32"/>
          <w:szCs w:val="32"/>
          <w:u w:val="single"/>
        </w:rPr>
        <w:t xml:space="preserve">          </w:t>
      </w:r>
      <w:r>
        <w:rPr>
          <w:rFonts w:hint="eastAsia" w:ascii="仿宋" w:hAnsi="仿宋" w:eastAsia="仿宋" w:cs="仿宋"/>
          <w:sz w:val="32"/>
          <w:szCs w:val="32"/>
        </w:rPr>
        <w:t>。咨询人向委托人提供的资料还包括：</w:t>
      </w:r>
      <w:r>
        <w:rPr>
          <w:rFonts w:hint="eastAsia" w:ascii="仿宋" w:hAnsi="仿宋" w:eastAsia="仿宋" w:cs="仿宋"/>
          <w:sz w:val="32"/>
          <w:szCs w:val="32"/>
          <w:u w:val="single"/>
        </w:rPr>
        <w:t>详见附录C</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3.2.2咨询人向委托人提供咨询成果文件的名称、组成、时间、份数及质量标准：</w:t>
      </w:r>
    </w:p>
    <w:p>
      <w:pPr>
        <w:spacing w:line="360" w:lineRule="auto"/>
        <w:ind w:left="681" w:leftChars="172" w:hanging="320" w:hangingChars="100"/>
        <w:rPr>
          <w:rFonts w:hint="eastAsia" w:ascii="仿宋" w:hAnsi="仿宋" w:eastAsia="仿宋" w:cs="仿宋"/>
          <w:sz w:val="32"/>
          <w:szCs w:val="32"/>
        </w:rPr>
      </w:pPr>
      <w:r>
        <w:rPr>
          <w:rFonts w:hint="eastAsia" w:ascii="仿宋" w:hAnsi="仿宋" w:eastAsia="仿宋" w:cs="仿宋"/>
          <w:sz w:val="32"/>
          <w:szCs w:val="32"/>
          <w:u w:val="single"/>
        </w:rPr>
        <w:t>详见补充条款及附录B。</w:t>
      </w:r>
    </w:p>
    <w:p>
      <w:pPr>
        <w:spacing w:line="360" w:lineRule="auto"/>
        <w:ind w:left="601" w:leftChars="286"/>
        <w:rPr>
          <w:rFonts w:hint="eastAsia" w:ascii="仿宋" w:hAnsi="仿宋" w:eastAsia="仿宋" w:cs="仿宋"/>
          <w:sz w:val="32"/>
          <w:szCs w:val="32"/>
        </w:rPr>
      </w:pPr>
      <w:r>
        <w:rPr>
          <w:rFonts w:hint="eastAsia" w:ascii="仿宋" w:hAnsi="仿宋" w:eastAsia="仿宋" w:cs="仿宋"/>
          <w:sz w:val="32"/>
          <w:szCs w:val="32"/>
        </w:rPr>
        <w:t>3.2.4咨询人应在收到委托人以书面形式提出的建议或者异议后</w:t>
      </w:r>
      <w:r>
        <w:rPr>
          <w:rFonts w:hint="eastAsia" w:ascii="仿宋" w:hAnsi="仿宋" w:eastAsia="仿宋" w:cs="仿宋"/>
          <w:sz w:val="32"/>
          <w:szCs w:val="32"/>
          <w:u w:val="single"/>
        </w:rPr>
        <w:t xml:space="preserve">    7   </w:t>
      </w:r>
      <w:r>
        <w:rPr>
          <w:rFonts w:hint="eastAsia" w:ascii="仿宋" w:hAnsi="仿宋" w:eastAsia="仿宋" w:cs="仿宋"/>
          <w:sz w:val="32"/>
          <w:szCs w:val="32"/>
        </w:rPr>
        <w:t>日内给予书面答复。</w:t>
      </w:r>
    </w:p>
    <w:p>
      <w:pPr>
        <w:pStyle w:val="5"/>
        <w:spacing w:before="60"/>
        <w:ind w:firstLine="640" w:firstLineChars="200"/>
        <w:jc w:val="left"/>
        <w:rPr>
          <w:rFonts w:hint="eastAsia" w:ascii="仿宋" w:hAnsi="仿宋" w:eastAsia="仿宋" w:cs="仿宋"/>
          <w:b w:val="0"/>
          <w:sz w:val="32"/>
          <w:szCs w:val="32"/>
        </w:rPr>
      </w:pPr>
      <w:bookmarkStart w:id="53" w:name="_Toc422322535"/>
      <w:bookmarkStart w:id="54" w:name="_Toc419045111"/>
      <w:r>
        <w:rPr>
          <w:rFonts w:hint="eastAsia" w:ascii="仿宋" w:hAnsi="仿宋" w:eastAsia="仿宋" w:cs="仿宋"/>
          <w:b w:val="0"/>
          <w:sz w:val="32"/>
          <w:szCs w:val="32"/>
        </w:rPr>
        <w:t>3.3咨询人的工作依据</w:t>
      </w:r>
      <w:bookmarkEnd w:id="53"/>
      <w:bookmarkEnd w:id="54"/>
    </w:p>
    <w:p>
      <w:pPr>
        <w:tabs>
          <w:tab w:val="left" w:pos="8931"/>
        </w:tabs>
        <w:spacing w:line="360" w:lineRule="auto"/>
        <w:ind w:right="-210" w:rightChars="-100" w:firstLine="640" w:firstLineChars="200"/>
        <w:rPr>
          <w:rFonts w:hint="eastAsia" w:ascii="仿宋" w:hAnsi="仿宋" w:eastAsia="仿宋" w:cs="仿宋"/>
          <w:sz w:val="32"/>
          <w:szCs w:val="32"/>
        </w:rPr>
      </w:pPr>
      <w:r>
        <w:rPr>
          <w:rFonts w:hint="eastAsia" w:ascii="仿宋" w:hAnsi="仿宋" w:eastAsia="仿宋" w:cs="仿宋"/>
          <w:sz w:val="32"/>
          <w:szCs w:val="32"/>
        </w:rPr>
        <w:t>经双方协商，本合同约定的造价咨询服务适用的技术标准、规范、定额等工作依据为：</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5"/>
        <w:spacing w:before="60"/>
        <w:ind w:firstLine="640" w:firstLineChars="200"/>
        <w:jc w:val="left"/>
        <w:rPr>
          <w:rFonts w:hint="eastAsia" w:ascii="仿宋" w:hAnsi="仿宋" w:eastAsia="仿宋" w:cs="仿宋"/>
          <w:b w:val="0"/>
          <w:sz w:val="32"/>
          <w:szCs w:val="32"/>
        </w:rPr>
      </w:pPr>
      <w:bookmarkStart w:id="55" w:name="_Toc419045112"/>
      <w:bookmarkStart w:id="56" w:name="_Toc422322536"/>
      <w:r>
        <w:rPr>
          <w:rFonts w:hint="eastAsia" w:ascii="仿宋" w:hAnsi="仿宋" w:eastAsia="仿宋" w:cs="仿宋"/>
          <w:b w:val="0"/>
          <w:sz w:val="32"/>
          <w:szCs w:val="32"/>
        </w:rPr>
        <w:t>3.4使用委托人房屋及设备的返还</w:t>
      </w:r>
      <w:bookmarkEnd w:id="55"/>
      <w:bookmarkEnd w:id="56"/>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咨询人应在本合同终止后</w:t>
      </w:r>
      <w:r>
        <w:rPr>
          <w:rFonts w:hint="eastAsia" w:ascii="仿宋" w:hAnsi="仿宋" w:eastAsia="仿宋" w:cs="仿宋"/>
          <w:sz w:val="32"/>
          <w:szCs w:val="32"/>
          <w:u w:val="single"/>
        </w:rPr>
        <w:t xml:space="preserve">      /         </w:t>
      </w:r>
      <w:r>
        <w:rPr>
          <w:rFonts w:hint="eastAsia" w:ascii="仿宋" w:hAnsi="仿宋" w:eastAsia="仿宋" w:cs="仿宋"/>
          <w:sz w:val="32"/>
          <w:szCs w:val="32"/>
        </w:rPr>
        <w:t>日内移交委托人提供的房屋及设备，移交的方式为</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7"/>
        <w:spacing w:before="0" w:after="0" w:line="360" w:lineRule="auto"/>
        <w:ind w:firstLine="643" w:firstLineChars="200"/>
        <w:jc w:val="left"/>
        <w:rPr>
          <w:rFonts w:hint="eastAsia" w:ascii="仿宋" w:hAnsi="仿宋" w:eastAsia="仿宋" w:cs="仿宋"/>
          <w:sz w:val="32"/>
          <w:szCs w:val="32"/>
        </w:rPr>
      </w:pPr>
      <w:bookmarkStart w:id="57" w:name="_Toc422322537"/>
      <w:bookmarkStart w:id="58" w:name="_Toc419045113"/>
      <w:r>
        <w:rPr>
          <w:rFonts w:hint="eastAsia" w:ascii="仿宋" w:hAnsi="仿宋" w:eastAsia="仿宋" w:cs="仿宋"/>
          <w:sz w:val="32"/>
          <w:szCs w:val="32"/>
        </w:rPr>
        <w:t>4. 违约责任</w:t>
      </w:r>
      <w:bookmarkEnd w:id="57"/>
      <w:bookmarkEnd w:id="58"/>
    </w:p>
    <w:p>
      <w:pPr>
        <w:pStyle w:val="5"/>
        <w:spacing w:before="60"/>
        <w:ind w:firstLine="640" w:firstLineChars="200"/>
        <w:jc w:val="left"/>
        <w:rPr>
          <w:rFonts w:hint="eastAsia" w:ascii="仿宋" w:hAnsi="仿宋" w:eastAsia="仿宋" w:cs="仿宋"/>
          <w:sz w:val="32"/>
          <w:szCs w:val="32"/>
        </w:rPr>
      </w:pPr>
      <w:bookmarkStart w:id="59" w:name="_Toc422322538"/>
      <w:r>
        <w:rPr>
          <w:rStyle w:val="15"/>
          <w:rFonts w:hint="eastAsia" w:ascii="仿宋" w:hAnsi="仿宋" w:eastAsia="仿宋" w:cs="仿宋"/>
          <w:b w:val="0"/>
          <w:bCs w:val="0"/>
          <w:sz w:val="32"/>
          <w:szCs w:val="32"/>
        </w:rPr>
        <w:t>4.1委托人的违约责任</w:t>
      </w:r>
      <w:bookmarkEnd w:id="59"/>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4.1.1委托人违约金的计算及支付方法：</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4.1.2委托人赔偿金额按下列方法确定并支付：</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4.1.3 委托人逾期付款利息按下列方法计算并支付：</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5"/>
        <w:spacing w:before="60"/>
        <w:ind w:firstLine="640" w:firstLineChars="200"/>
        <w:jc w:val="left"/>
        <w:rPr>
          <w:rFonts w:hint="eastAsia" w:ascii="仿宋" w:hAnsi="仿宋" w:eastAsia="仿宋" w:cs="仿宋"/>
          <w:b w:val="0"/>
          <w:sz w:val="32"/>
          <w:szCs w:val="32"/>
        </w:rPr>
      </w:pPr>
      <w:bookmarkStart w:id="60" w:name="_Toc422322539"/>
      <w:bookmarkStart w:id="61" w:name="_Toc419045114"/>
      <w:r>
        <w:rPr>
          <w:rFonts w:hint="eastAsia" w:ascii="仿宋" w:hAnsi="仿宋" w:eastAsia="仿宋" w:cs="仿宋"/>
          <w:b w:val="0"/>
          <w:sz w:val="32"/>
          <w:szCs w:val="32"/>
        </w:rPr>
        <w:t>4.2咨询人的违约责任</w:t>
      </w:r>
      <w:bookmarkEnd w:id="60"/>
    </w:p>
    <w:bookmarkEnd w:id="61"/>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4.2.1咨询人违约金的计算及支付方法：</w:t>
      </w:r>
      <w:r>
        <w:rPr>
          <w:rFonts w:hint="eastAsia" w:ascii="仿宋" w:hAnsi="仿宋" w:eastAsia="仿宋" w:cs="仿宋"/>
          <w:sz w:val="32"/>
          <w:szCs w:val="32"/>
          <w:u w:val="single"/>
        </w:rPr>
        <w:t>标准按补充条款执行，可在当期进度款中扣除。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4.2.2 咨询人赔偿金额按下列方法确定并支付：</w:t>
      </w:r>
      <w:r>
        <w:rPr>
          <w:rFonts w:hint="eastAsia" w:ascii="仿宋" w:hAnsi="仿宋" w:eastAsia="仿宋" w:cs="仿宋"/>
          <w:sz w:val="32"/>
          <w:szCs w:val="32"/>
          <w:u w:val="single"/>
        </w:rPr>
        <w:t>标准按补充条款执行，可在当期进度款中扣除</w:t>
      </w:r>
      <w:r>
        <w:rPr>
          <w:rFonts w:hint="eastAsia" w:ascii="仿宋" w:hAnsi="仿宋" w:eastAsia="仿宋" w:cs="仿宋"/>
          <w:sz w:val="32"/>
          <w:szCs w:val="32"/>
        </w:rPr>
        <w:t>。</w:t>
      </w:r>
    </w:p>
    <w:p>
      <w:pPr>
        <w:pStyle w:val="7"/>
        <w:spacing w:before="0" w:after="0" w:line="360" w:lineRule="auto"/>
        <w:ind w:firstLine="643" w:firstLineChars="200"/>
        <w:jc w:val="left"/>
        <w:rPr>
          <w:rFonts w:hint="eastAsia" w:ascii="仿宋" w:hAnsi="仿宋" w:eastAsia="仿宋" w:cs="仿宋"/>
          <w:sz w:val="32"/>
          <w:szCs w:val="32"/>
        </w:rPr>
      </w:pPr>
      <w:bookmarkStart w:id="62" w:name="_Toc419045115"/>
      <w:bookmarkStart w:id="63" w:name="_Toc422322540"/>
      <w:r>
        <w:rPr>
          <w:rFonts w:hint="eastAsia" w:ascii="仿宋" w:hAnsi="仿宋" w:eastAsia="仿宋" w:cs="仿宋"/>
          <w:sz w:val="32"/>
          <w:szCs w:val="32"/>
        </w:rPr>
        <w:t>5. 支付</w:t>
      </w:r>
      <w:bookmarkEnd w:id="62"/>
      <w:bookmarkEnd w:id="63"/>
    </w:p>
    <w:p>
      <w:pPr>
        <w:spacing w:line="360" w:lineRule="auto"/>
        <w:ind w:firstLine="640" w:firstLineChars="200"/>
        <w:rPr>
          <w:rStyle w:val="15"/>
          <w:rFonts w:hint="eastAsia" w:ascii="仿宋" w:hAnsi="仿宋" w:eastAsia="仿宋" w:cs="仿宋"/>
          <w:b w:val="0"/>
          <w:sz w:val="32"/>
          <w:szCs w:val="32"/>
        </w:rPr>
      </w:pPr>
      <w:bookmarkStart w:id="64" w:name="_Toc419045116"/>
      <w:bookmarkStart w:id="65" w:name="_Toc422322541"/>
      <w:r>
        <w:rPr>
          <w:rStyle w:val="15"/>
          <w:rFonts w:hint="eastAsia" w:ascii="仿宋" w:hAnsi="仿宋" w:eastAsia="仿宋" w:cs="仿宋"/>
          <w:b w:val="0"/>
          <w:sz w:val="32"/>
          <w:szCs w:val="32"/>
        </w:rPr>
        <w:t>5.1支付货币</w:t>
      </w:r>
      <w:bookmarkEnd w:id="64"/>
      <w:bookmarkEnd w:id="6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币种为：</w:t>
      </w:r>
      <w:r>
        <w:rPr>
          <w:rFonts w:hint="eastAsia" w:ascii="仿宋" w:hAnsi="仿宋" w:eastAsia="仿宋" w:cs="仿宋"/>
          <w:sz w:val="32"/>
          <w:szCs w:val="32"/>
          <w:u w:val="single"/>
        </w:rPr>
        <w:t xml:space="preserve">   人民币   </w:t>
      </w:r>
      <w:r>
        <w:rPr>
          <w:rFonts w:hint="eastAsia" w:ascii="仿宋" w:hAnsi="仿宋" w:eastAsia="仿宋" w:cs="仿宋"/>
          <w:sz w:val="32"/>
          <w:szCs w:val="32"/>
        </w:rPr>
        <w:t>，汇率为：</w:t>
      </w:r>
      <w:r>
        <w:rPr>
          <w:rFonts w:hint="eastAsia" w:ascii="仿宋" w:hAnsi="仿宋" w:eastAsia="仿宋" w:cs="仿宋"/>
          <w:sz w:val="32"/>
          <w:szCs w:val="32"/>
          <w:u w:val="single"/>
        </w:rPr>
        <w:t xml:space="preserve">   /   </w:t>
      </w:r>
      <w:r>
        <w:rPr>
          <w:rFonts w:hint="eastAsia" w:ascii="仿宋" w:hAnsi="仿宋" w:eastAsia="仿宋" w:cs="仿宋"/>
          <w:sz w:val="32"/>
          <w:szCs w:val="32"/>
        </w:rPr>
        <w:t>，其他约定：</w:t>
      </w:r>
      <w:r>
        <w:rPr>
          <w:rFonts w:hint="eastAsia" w:ascii="仿宋" w:hAnsi="仿宋" w:eastAsia="仿宋" w:cs="仿宋"/>
          <w:sz w:val="32"/>
          <w:szCs w:val="32"/>
          <w:u w:val="single"/>
        </w:rPr>
        <w:t xml:space="preserve">     无    </w:t>
      </w:r>
      <w:r>
        <w:rPr>
          <w:rFonts w:hint="eastAsia" w:ascii="仿宋" w:hAnsi="仿宋" w:eastAsia="仿宋" w:cs="仿宋"/>
          <w:sz w:val="32"/>
          <w:szCs w:val="32"/>
        </w:rPr>
        <w:t>。</w:t>
      </w:r>
    </w:p>
    <w:p>
      <w:pPr>
        <w:spacing w:line="360" w:lineRule="auto"/>
        <w:ind w:firstLine="640" w:firstLineChars="200"/>
        <w:rPr>
          <w:rStyle w:val="15"/>
          <w:rFonts w:hint="eastAsia" w:ascii="仿宋" w:hAnsi="仿宋" w:eastAsia="仿宋" w:cs="仿宋"/>
          <w:b w:val="0"/>
          <w:sz w:val="32"/>
          <w:szCs w:val="32"/>
        </w:rPr>
      </w:pPr>
      <w:bookmarkStart w:id="66" w:name="_Toc419045117"/>
      <w:bookmarkStart w:id="67" w:name="_Toc422322542"/>
      <w:r>
        <w:rPr>
          <w:rStyle w:val="15"/>
          <w:rFonts w:hint="eastAsia" w:ascii="仿宋" w:hAnsi="仿宋" w:eastAsia="仿宋" w:cs="仿宋"/>
          <w:b w:val="0"/>
          <w:sz w:val="32"/>
          <w:szCs w:val="32"/>
        </w:rPr>
        <w:t>5.2 支付申请</w:t>
      </w:r>
      <w:bookmarkEnd w:id="66"/>
      <w:bookmarkEnd w:id="6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咨询人应在本合同约定的每次应付款日期</w:t>
      </w:r>
      <w:r>
        <w:rPr>
          <w:rFonts w:hint="eastAsia" w:ascii="仿宋" w:hAnsi="仿宋" w:eastAsia="仿宋" w:cs="仿宋"/>
          <w:sz w:val="32"/>
          <w:szCs w:val="32"/>
          <w:u w:val="single"/>
        </w:rPr>
        <w:t xml:space="preserve"> 7 </w:t>
      </w:r>
      <w:r>
        <w:rPr>
          <w:rFonts w:hint="eastAsia" w:ascii="仿宋" w:hAnsi="仿宋" w:eastAsia="仿宋" w:cs="仿宋"/>
          <w:sz w:val="32"/>
          <w:szCs w:val="32"/>
        </w:rPr>
        <w:t>日前，向委托人提交支付申请书。</w:t>
      </w:r>
    </w:p>
    <w:p>
      <w:pPr>
        <w:spacing w:line="360" w:lineRule="auto"/>
        <w:ind w:firstLine="640" w:firstLineChars="200"/>
        <w:rPr>
          <w:rStyle w:val="15"/>
          <w:rFonts w:hint="eastAsia" w:ascii="仿宋" w:hAnsi="仿宋" w:eastAsia="仿宋" w:cs="仿宋"/>
          <w:b w:val="0"/>
          <w:sz w:val="32"/>
          <w:szCs w:val="32"/>
        </w:rPr>
      </w:pPr>
      <w:bookmarkStart w:id="68" w:name="_Toc422322543"/>
      <w:bookmarkStart w:id="69" w:name="_Toc419045118"/>
      <w:r>
        <w:rPr>
          <w:rStyle w:val="15"/>
          <w:rFonts w:hint="eastAsia" w:ascii="仿宋" w:hAnsi="仿宋" w:eastAsia="仿宋" w:cs="仿宋"/>
          <w:b w:val="0"/>
          <w:sz w:val="32"/>
          <w:szCs w:val="32"/>
        </w:rPr>
        <w:t>5.3支付酬金</w:t>
      </w:r>
      <w:bookmarkEnd w:id="68"/>
      <w:bookmarkEnd w:id="69"/>
    </w:p>
    <w:p>
      <w:pPr>
        <w:spacing w:line="360" w:lineRule="auto"/>
        <w:ind w:firstLine="640" w:firstLineChars="200"/>
        <w:rPr>
          <w:rStyle w:val="15"/>
          <w:rFonts w:hint="eastAsia" w:ascii="仿宋" w:hAnsi="仿宋" w:eastAsia="仿宋" w:cs="仿宋"/>
          <w:b w:val="0"/>
          <w:sz w:val="32"/>
          <w:szCs w:val="32"/>
        </w:rPr>
      </w:pPr>
      <w:r>
        <w:rPr>
          <w:rStyle w:val="15"/>
          <w:rFonts w:hint="eastAsia" w:ascii="仿宋" w:hAnsi="仿宋" w:eastAsia="仿宋" w:cs="仿宋"/>
          <w:b w:val="0"/>
          <w:sz w:val="32"/>
          <w:szCs w:val="32"/>
        </w:rPr>
        <w:t>5.3.1正常工作酬金的支付</w:t>
      </w:r>
    </w:p>
    <w:tbl>
      <w:tblPr>
        <w:tblStyle w:val="9"/>
        <w:tblW w:w="9310" w:type="dxa"/>
        <w:jc w:val="center"/>
        <w:tblInd w:w="-30" w:type="dxa"/>
        <w:tblLayout w:type="fixed"/>
        <w:tblCellMar>
          <w:top w:w="0" w:type="dxa"/>
          <w:left w:w="0" w:type="dxa"/>
          <w:bottom w:w="0" w:type="dxa"/>
          <w:right w:w="0" w:type="dxa"/>
        </w:tblCellMar>
      </w:tblPr>
      <w:tblGrid>
        <w:gridCol w:w="1209"/>
        <w:gridCol w:w="2456"/>
        <w:gridCol w:w="1244"/>
        <w:gridCol w:w="1875"/>
        <w:gridCol w:w="2526"/>
      </w:tblGrid>
      <w:tr>
        <w:tblPrEx>
          <w:tblLayout w:type="fixed"/>
          <w:tblCellMar>
            <w:top w:w="0" w:type="dxa"/>
            <w:left w:w="0" w:type="dxa"/>
            <w:bottom w:w="0" w:type="dxa"/>
            <w:right w:w="0" w:type="dxa"/>
          </w:tblCellMar>
        </w:tblPrEx>
        <w:trPr>
          <w:jc w:val="center"/>
        </w:trPr>
        <w:tc>
          <w:tcPr>
            <w:tcW w:w="1209" w:type="dxa"/>
            <w:tcBorders>
              <w:top w:val="thinThickLargeGap" w:color="000000" w:sz="6" w:space="0"/>
              <w:left w:val="thinThickLargeGap" w:color="000000" w:sz="6"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支付次数</w:t>
            </w:r>
          </w:p>
        </w:tc>
        <w:tc>
          <w:tcPr>
            <w:tcW w:w="2456"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支付阶段</w:t>
            </w:r>
          </w:p>
        </w:tc>
        <w:tc>
          <w:tcPr>
            <w:tcW w:w="1244"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支付比例</w:t>
            </w:r>
          </w:p>
        </w:tc>
        <w:tc>
          <w:tcPr>
            <w:tcW w:w="1875"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支付金额（万元）</w:t>
            </w:r>
          </w:p>
        </w:tc>
        <w:tc>
          <w:tcPr>
            <w:tcW w:w="2526" w:type="dxa"/>
            <w:tcBorders>
              <w:top w:val="thinThickLargeGap" w:color="000000" w:sz="6" w:space="0"/>
              <w:left w:val="single" w:color="auto" w:sz="0" w:space="0"/>
              <w:bottom w:val="thinThickLargeGap" w:color="000000" w:sz="6" w:space="0"/>
              <w:right w:val="thinThickLargeGap" w:color="000000" w:sz="6" w:space="0"/>
            </w:tcBorders>
            <w:vAlign w:val="top"/>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Layout w:type="fixed"/>
          <w:tblCellMar>
            <w:top w:w="0" w:type="dxa"/>
            <w:left w:w="0" w:type="dxa"/>
            <w:bottom w:w="0" w:type="dxa"/>
            <w:right w:w="0" w:type="dxa"/>
          </w:tblCellMar>
        </w:tblPrEx>
        <w:trPr>
          <w:jc w:val="center"/>
        </w:trPr>
        <w:tc>
          <w:tcPr>
            <w:tcW w:w="1209" w:type="dxa"/>
            <w:tcBorders>
              <w:top w:val="thinThickLargeGap" w:color="000000" w:sz="6" w:space="0"/>
              <w:left w:val="thinThickLargeGap" w:color="000000" w:sz="6"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2456"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预付款</w:t>
            </w:r>
          </w:p>
        </w:tc>
        <w:tc>
          <w:tcPr>
            <w:tcW w:w="1244"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0-10%</w:t>
            </w:r>
          </w:p>
        </w:tc>
        <w:tc>
          <w:tcPr>
            <w:tcW w:w="1875"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p>
        </w:tc>
        <w:tc>
          <w:tcPr>
            <w:tcW w:w="2526" w:type="dxa"/>
            <w:tcBorders>
              <w:top w:val="thinThickLargeGap" w:color="000000" w:sz="6" w:space="0"/>
              <w:left w:val="single" w:color="auto" w:sz="0" w:space="0"/>
              <w:bottom w:val="thinThickLargeGap" w:color="000000" w:sz="6" w:space="0"/>
              <w:right w:val="thinThickLargeGap" w:color="000000" w:sz="6" w:space="0"/>
            </w:tcBorders>
            <w:vAlign w:val="top"/>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提供项目实施方案7天内</w:t>
            </w:r>
          </w:p>
        </w:tc>
      </w:tr>
      <w:tr>
        <w:tblPrEx>
          <w:tblLayout w:type="fixed"/>
          <w:tblCellMar>
            <w:top w:w="0" w:type="dxa"/>
            <w:left w:w="0" w:type="dxa"/>
            <w:bottom w:w="0" w:type="dxa"/>
            <w:right w:w="0" w:type="dxa"/>
          </w:tblCellMar>
        </w:tblPrEx>
        <w:trPr>
          <w:jc w:val="center"/>
        </w:trPr>
        <w:tc>
          <w:tcPr>
            <w:tcW w:w="1209" w:type="dxa"/>
            <w:tcBorders>
              <w:top w:val="thinThickLargeGap" w:color="000000" w:sz="6" w:space="0"/>
              <w:left w:val="thinThickLargeGap" w:color="000000" w:sz="6"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2456"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初稿提交后 </w:t>
            </w:r>
          </w:p>
        </w:tc>
        <w:tc>
          <w:tcPr>
            <w:tcW w:w="1244"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50-70%</w:t>
            </w:r>
          </w:p>
        </w:tc>
        <w:tc>
          <w:tcPr>
            <w:tcW w:w="1875"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p>
        </w:tc>
        <w:tc>
          <w:tcPr>
            <w:tcW w:w="2526" w:type="dxa"/>
            <w:tcBorders>
              <w:top w:val="thinThickLargeGap" w:color="000000" w:sz="6" w:space="0"/>
              <w:left w:val="single" w:color="auto" w:sz="0" w:space="0"/>
              <w:bottom w:val="thinThickLargeGap" w:color="000000" w:sz="6" w:space="0"/>
              <w:right w:val="thinThickLargeGap" w:color="000000" w:sz="6" w:space="0"/>
            </w:tcBorders>
            <w:vAlign w:val="top"/>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提供初步咨询成果7天内</w:t>
            </w:r>
          </w:p>
        </w:tc>
      </w:tr>
      <w:tr>
        <w:tblPrEx>
          <w:tblLayout w:type="fixed"/>
          <w:tblCellMar>
            <w:top w:w="0" w:type="dxa"/>
            <w:left w:w="0" w:type="dxa"/>
            <w:bottom w:w="0" w:type="dxa"/>
            <w:right w:w="0" w:type="dxa"/>
          </w:tblCellMar>
        </w:tblPrEx>
        <w:trPr>
          <w:trHeight w:val="667" w:hRule="atLeast"/>
          <w:jc w:val="center"/>
        </w:trPr>
        <w:tc>
          <w:tcPr>
            <w:tcW w:w="1209" w:type="dxa"/>
            <w:tcBorders>
              <w:top w:val="thinThickLargeGap" w:color="000000" w:sz="6" w:space="0"/>
              <w:left w:val="thinThickLargeGap" w:color="000000" w:sz="6"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2456"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出具正式咨询成果</w:t>
            </w:r>
          </w:p>
        </w:tc>
        <w:tc>
          <w:tcPr>
            <w:tcW w:w="1244"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尾款</w:t>
            </w:r>
          </w:p>
        </w:tc>
        <w:tc>
          <w:tcPr>
            <w:tcW w:w="1875" w:type="dxa"/>
            <w:tcBorders>
              <w:top w:val="thinThickLargeGap" w:color="000000" w:sz="6" w:space="0"/>
              <w:left w:val="single" w:color="auto" w:sz="0" w:space="0"/>
              <w:bottom w:val="thinThickLargeGap" w:color="000000" w:sz="6" w:space="0"/>
              <w:right w:val="thinThickLargeGap" w:color="000000" w:sz="6" w:space="0"/>
            </w:tcBorders>
            <w:vAlign w:val="center"/>
          </w:tcPr>
          <w:p>
            <w:pPr>
              <w:spacing w:line="360" w:lineRule="auto"/>
              <w:jc w:val="center"/>
              <w:rPr>
                <w:rFonts w:hint="eastAsia" w:ascii="仿宋" w:hAnsi="仿宋" w:eastAsia="仿宋" w:cs="仿宋"/>
                <w:sz w:val="32"/>
                <w:szCs w:val="32"/>
              </w:rPr>
            </w:pPr>
          </w:p>
        </w:tc>
        <w:tc>
          <w:tcPr>
            <w:tcW w:w="2526" w:type="dxa"/>
            <w:tcBorders>
              <w:top w:val="thinThickLargeGap" w:color="000000" w:sz="6" w:space="0"/>
              <w:left w:val="single" w:color="auto" w:sz="0" w:space="0"/>
              <w:bottom w:val="thinThickLargeGap" w:color="000000" w:sz="6" w:space="0"/>
              <w:right w:val="thinThickLargeGap" w:color="000000" w:sz="6" w:space="0"/>
            </w:tcBorders>
            <w:vAlign w:val="top"/>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出具正式咨询成果30天内</w:t>
            </w:r>
          </w:p>
        </w:tc>
      </w:tr>
    </w:tbl>
    <w:p>
      <w:pPr>
        <w:spacing w:line="360" w:lineRule="auto"/>
        <w:rPr>
          <w:rFonts w:hint="eastAsia" w:ascii="仿宋" w:hAnsi="仿宋" w:eastAsia="仿宋" w:cs="仿宋"/>
          <w:b/>
          <w:bCs/>
          <w:sz w:val="32"/>
          <w:szCs w:val="32"/>
        </w:rPr>
      </w:pPr>
      <w:bookmarkStart w:id="70" w:name="_Toc419045119"/>
      <w:bookmarkStart w:id="71" w:name="_Toc422322544"/>
      <w:r>
        <w:rPr>
          <w:rFonts w:hint="eastAsia" w:ascii="仿宋" w:hAnsi="仿宋" w:eastAsia="仿宋" w:cs="仿宋"/>
          <w:b/>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Cs/>
          <w:sz w:val="32"/>
          <w:szCs w:val="32"/>
          <w:u w:val="single"/>
        </w:rPr>
        <w:t>注：1、分阶段出具咨询成果报告的按各阶段单独收费。</w:t>
      </w:r>
    </w:p>
    <w:p>
      <w:pPr>
        <w:spacing w:line="360" w:lineRule="auto"/>
        <w:rPr>
          <w:rFonts w:hint="eastAsia" w:ascii="仿宋" w:hAnsi="仿宋" w:eastAsia="仿宋" w:cs="仿宋"/>
          <w:bCs/>
          <w:sz w:val="32"/>
          <w:szCs w:val="32"/>
          <w:u w:val="single"/>
        </w:rPr>
      </w:pPr>
      <w:r>
        <w:rPr>
          <w:rFonts w:hint="eastAsia" w:ascii="仿宋" w:hAnsi="仿宋" w:eastAsia="仿宋" w:cs="仿宋"/>
          <w:sz w:val="32"/>
          <w:szCs w:val="32"/>
        </w:rPr>
        <w:t xml:space="preserve">     </w:t>
      </w:r>
      <w:r>
        <w:rPr>
          <w:rFonts w:hint="eastAsia" w:ascii="仿宋" w:hAnsi="仿宋" w:eastAsia="仿宋" w:cs="仿宋"/>
          <w:bCs/>
          <w:sz w:val="32"/>
          <w:szCs w:val="32"/>
          <w:u w:val="single"/>
        </w:rPr>
        <w:t xml:space="preserve">    2、合同应明确约定付费方，若由第三方支付的，应有支付保障。</w:t>
      </w:r>
    </w:p>
    <w:p>
      <w:pPr>
        <w:pStyle w:val="7"/>
        <w:spacing w:before="0" w:after="0" w:line="360" w:lineRule="auto"/>
        <w:ind w:firstLine="643" w:firstLineChars="200"/>
        <w:jc w:val="left"/>
        <w:rPr>
          <w:rFonts w:hint="eastAsia" w:ascii="仿宋" w:hAnsi="仿宋" w:eastAsia="仿宋" w:cs="仿宋"/>
          <w:sz w:val="32"/>
          <w:szCs w:val="32"/>
        </w:rPr>
      </w:pPr>
      <w:r>
        <w:rPr>
          <w:rFonts w:hint="eastAsia" w:ascii="仿宋" w:hAnsi="仿宋" w:eastAsia="仿宋" w:cs="仿宋"/>
          <w:sz w:val="32"/>
          <w:szCs w:val="32"/>
        </w:rPr>
        <w:t>6. 合同变更、解除与终止</w:t>
      </w:r>
      <w:bookmarkEnd w:id="70"/>
      <w:bookmarkEnd w:id="71"/>
    </w:p>
    <w:p>
      <w:pPr>
        <w:spacing w:line="360" w:lineRule="auto"/>
        <w:ind w:firstLine="640" w:firstLineChars="200"/>
        <w:rPr>
          <w:rStyle w:val="15"/>
          <w:rFonts w:hint="eastAsia" w:ascii="仿宋" w:hAnsi="仿宋" w:eastAsia="仿宋" w:cs="仿宋"/>
          <w:b w:val="0"/>
          <w:sz w:val="32"/>
          <w:szCs w:val="32"/>
        </w:rPr>
      </w:pPr>
      <w:bookmarkStart w:id="72" w:name="_Toc419045120"/>
      <w:bookmarkStart w:id="73" w:name="_Toc422322545"/>
      <w:r>
        <w:rPr>
          <w:rStyle w:val="15"/>
          <w:rFonts w:hint="eastAsia" w:ascii="仿宋" w:hAnsi="仿宋" w:eastAsia="仿宋" w:cs="仿宋"/>
          <w:b w:val="0"/>
          <w:sz w:val="32"/>
          <w:szCs w:val="32"/>
        </w:rPr>
        <w:t>6.1合同变更</w:t>
      </w:r>
      <w:bookmarkEnd w:id="72"/>
      <w:bookmarkEnd w:id="73"/>
      <w:r>
        <w:rPr>
          <w:rFonts w:hint="eastAsia" w:ascii="仿宋" w:hAnsi="仿宋" w:eastAsia="仿宋" w:cs="仿宋"/>
          <w:sz w:val="32"/>
          <w:szCs w:val="32"/>
        </w:rPr>
        <w:br w:type="textWrapping"/>
      </w:r>
      <w:r>
        <w:rPr>
          <w:rFonts w:hint="eastAsia" w:ascii="仿宋" w:hAnsi="仿宋" w:eastAsia="仿宋" w:cs="仿宋"/>
          <w:sz w:val="32"/>
          <w:szCs w:val="32"/>
        </w:rPr>
        <w:t xml:space="preserve">    6.1.2 除不可抗力外，因非咨询人原因导致本合同履行期限延长、内容增加时，附加工作酬金按下列方法确定：</w:t>
      </w:r>
      <w:r>
        <w:rPr>
          <w:rFonts w:hint="eastAsia" w:ascii="仿宋" w:hAnsi="仿宋" w:eastAsia="仿宋" w:cs="仿宋"/>
          <w:sz w:val="32"/>
          <w:szCs w:val="32"/>
          <w:u w:val="single"/>
        </w:rPr>
        <w:t>按附录A约定执行</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6.1.4因工程规模、服务范围及内容的变化等导致咨询人的工作量增减时，服务酬金的调整方法：</w:t>
      </w:r>
      <w:r>
        <w:rPr>
          <w:rFonts w:hint="eastAsia" w:ascii="仿宋" w:hAnsi="仿宋" w:eastAsia="仿宋" w:cs="仿宋"/>
          <w:sz w:val="32"/>
          <w:szCs w:val="32"/>
          <w:u w:val="single"/>
        </w:rPr>
        <w:t>按附录A约定执行</w:t>
      </w:r>
      <w:r>
        <w:rPr>
          <w:rFonts w:hint="eastAsia" w:ascii="仿宋" w:hAnsi="仿宋" w:eastAsia="仿宋" w:cs="仿宋"/>
          <w:sz w:val="32"/>
          <w:szCs w:val="32"/>
        </w:rPr>
        <w:t>。</w:t>
      </w:r>
    </w:p>
    <w:p>
      <w:pPr>
        <w:pStyle w:val="5"/>
        <w:spacing w:before="60"/>
        <w:ind w:firstLine="640" w:firstLineChars="200"/>
        <w:jc w:val="left"/>
        <w:rPr>
          <w:rFonts w:hint="eastAsia" w:ascii="仿宋" w:hAnsi="仿宋" w:eastAsia="仿宋" w:cs="仿宋"/>
          <w:b w:val="0"/>
          <w:sz w:val="32"/>
          <w:szCs w:val="32"/>
        </w:rPr>
      </w:pPr>
      <w:bookmarkStart w:id="74" w:name="_Toc422322546"/>
      <w:r>
        <w:rPr>
          <w:rFonts w:hint="eastAsia" w:ascii="仿宋" w:hAnsi="仿宋" w:eastAsia="仿宋" w:cs="仿宋"/>
          <w:b w:val="0"/>
          <w:sz w:val="32"/>
          <w:szCs w:val="32"/>
        </w:rPr>
        <w:t>6.2合同解除</w:t>
      </w:r>
      <w:bookmarkEnd w:id="74"/>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6.2.2双方约定解除合同的条件还包括：</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6.2.4因不可抗力导致的合同解除，双方约定损失的分担如下：</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pStyle w:val="7"/>
        <w:spacing w:before="0" w:after="0" w:line="360" w:lineRule="auto"/>
        <w:ind w:firstLine="643" w:firstLineChars="200"/>
        <w:jc w:val="left"/>
        <w:rPr>
          <w:rFonts w:hint="eastAsia" w:ascii="仿宋" w:hAnsi="仿宋" w:eastAsia="仿宋" w:cs="仿宋"/>
          <w:sz w:val="32"/>
          <w:szCs w:val="32"/>
        </w:rPr>
      </w:pPr>
      <w:bookmarkStart w:id="75" w:name="_Toc419045121"/>
      <w:bookmarkStart w:id="76" w:name="_Toc422322547"/>
      <w:r>
        <w:rPr>
          <w:rFonts w:hint="eastAsia" w:ascii="仿宋" w:hAnsi="仿宋" w:eastAsia="仿宋" w:cs="仿宋"/>
          <w:sz w:val="32"/>
          <w:szCs w:val="32"/>
        </w:rPr>
        <w:t>7. 争议解决</w:t>
      </w:r>
      <w:bookmarkEnd w:id="75"/>
      <w:bookmarkEnd w:id="76"/>
    </w:p>
    <w:p>
      <w:pPr>
        <w:spacing w:line="360" w:lineRule="auto"/>
        <w:ind w:firstLine="480"/>
        <w:rPr>
          <w:rStyle w:val="15"/>
          <w:rFonts w:hint="eastAsia" w:ascii="仿宋" w:hAnsi="仿宋" w:eastAsia="仿宋" w:cs="仿宋"/>
          <w:b w:val="0"/>
          <w:sz w:val="32"/>
          <w:szCs w:val="32"/>
        </w:rPr>
      </w:pPr>
      <w:bookmarkStart w:id="77" w:name="_Toc422322548"/>
      <w:bookmarkStart w:id="78" w:name="_Toc419045122"/>
      <w:r>
        <w:rPr>
          <w:rStyle w:val="15"/>
          <w:rFonts w:hint="eastAsia" w:ascii="仿宋" w:hAnsi="仿宋" w:eastAsia="仿宋" w:cs="仿宋"/>
          <w:b w:val="0"/>
          <w:sz w:val="32"/>
          <w:szCs w:val="32"/>
        </w:rPr>
        <w:t>7.2调解</w:t>
      </w:r>
      <w:bookmarkEnd w:id="77"/>
      <w:bookmarkEnd w:id="78"/>
      <w:r>
        <w:rPr>
          <w:rFonts w:hint="eastAsia" w:ascii="仿宋" w:hAnsi="仿宋" w:eastAsia="仿宋" w:cs="仿宋"/>
          <w:sz w:val="32"/>
          <w:szCs w:val="32"/>
        </w:rPr>
        <w:br w:type="textWrapping"/>
      </w:r>
      <w:r>
        <w:rPr>
          <w:rFonts w:hint="eastAsia" w:ascii="仿宋" w:hAnsi="仿宋" w:eastAsia="仿宋" w:cs="仿宋"/>
          <w:sz w:val="32"/>
          <w:szCs w:val="32"/>
        </w:rPr>
        <w:t xml:space="preserve">    如果双方不能在</w:t>
      </w:r>
      <w:r>
        <w:rPr>
          <w:rFonts w:hint="eastAsia" w:ascii="仿宋" w:hAnsi="仿宋" w:eastAsia="仿宋" w:cs="仿宋"/>
          <w:sz w:val="32"/>
          <w:szCs w:val="32"/>
          <w:u w:val="single"/>
        </w:rPr>
        <w:t xml:space="preserve">  30  </w:t>
      </w:r>
      <w:r>
        <w:rPr>
          <w:rFonts w:hint="eastAsia" w:ascii="仿宋" w:hAnsi="仿宋" w:eastAsia="仿宋" w:cs="仿宋"/>
          <w:sz w:val="32"/>
          <w:szCs w:val="32"/>
        </w:rPr>
        <w:t>日内解决本合同争议，可以将其提交</w:t>
      </w:r>
      <w:r>
        <w:rPr>
          <w:rFonts w:hint="eastAsia" w:ascii="仿宋" w:hAnsi="仿宋" w:eastAsia="仿宋" w:cs="仿宋"/>
          <w:sz w:val="32"/>
          <w:szCs w:val="32"/>
          <w:u w:val="single"/>
        </w:rPr>
        <w:t xml:space="preserve">  /  </w:t>
      </w:r>
      <w:r>
        <w:rPr>
          <w:rFonts w:hint="eastAsia" w:ascii="仿宋" w:hAnsi="仿宋" w:eastAsia="仿宋" w:cs="仿宋"/>
          <w:sz w:val="32"/>
          <w:szCs w:val="32"/>
        </w:rPr>
        <w:t>进行调解。</w:t>
      </w:r>
    </w:p>
    <w:p>
      <w:pPr>
        <w:pStyle w:val="5"/>
        <w:spacing w:before="60"/>
        <w:ind w:firstLine="640" w:firstLineChars="200"/>
        <w:jc w:val="left"/>
        <w:rPr>
          <w:rFonts w:hint="eastAsia" w:ascii="仿宋" w:hAnsi="仿宋" w:eastAsia="仿宋" w:cs="仿宋"/>
          <w:b w:val="0"/>
          <w:sz w:val="32"/>
          <w:szCs w:val="32"/>
        </w:rPr>
      </w:pPr>
      <w:bookmarkStart w:id="79" w:name="_Toc422322549"/>
      <w:r>
        <w:rPr>
          <w:rFonts w:hint="eastAsia" w:ascii="仿宋" w:hAnsi="仿宋" w:eastAsia="仿宋" w:cs="仿宋"/>
          <w:b w:val="0"/>
          <w:sz w:val="32"/>
          <w:szCs w:val="32"/>
        </w:rPr>
        <w:t>7.3仲裁或诉讼</w:t>
      </w:r>
      <w:bookmarkEnd w:id="79"/>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合同争议的最终解决方式为下列第</w:t>
      </w:r>
      <w:r>
        <w:rPr>
          <w:rFonts w:hint="eastAsia" w:ascii="仿宋" w:hAnsi="仿宋" w:eastAsia="仿宋" w:cs="仿宋"/>
          <w:sz w:val="32"/>
          <w:szCs w:val="32"/>
          <w:u w:val="single"/>
        </w:rPr>
        <w:t xml:space="preserve">      </w:t>
      </w:r>
      <w:r>
        <w:rPr>
          <w:rFonts w:hint="eastAsia" w:ascii="仿宋" w:hAnsi="仿宋" w:eastAsia="仿宋" w:cs="仿宋"/>
          <w:sz w:val="32"/>
          <w:szCs w:val="32"/>
        </w:rPr>
        <w:t>种方式：</w:t>
      </w:r>
      <w:r>
        <w:rPr>
          <w:rFonts w:hint="eastAsia" w:ascii="仿宋" w:hAnsi="仿宋" w:eastAsia="仿宋" w:cs="仿宋"/>
          <w:sz w:val="32"/>
          <w:szCs w:val="32"/>
        </w:rPr>
        <w:br w:type="textWrapping"/>
      </w:r>
      <w:r>
        <w:rPr>
          <w:rFonts w:hint="eastAsia" w:ascii="仿宋" w:hAnsi="仿宋" w:eastAsia="仿宋" w:cs="仿宋"/>
          <w:sz w:val="32"/>
          <w:szCs w:val="32"/>
        </w:rPr>
        <w:t xml:space="preserve">   （1）提请</w:t>
      </w:r>
      <w:r>
        <w:rPr>
          <w:rFonts w:hint="eastAsia" w:ascii="仿宋" w:hAnsi="仿宋" w:eastAsia="仿宋" w:cs="仿宋"/>
          <w:sz w:val="32"/>
          <w:szCs w:val="32"/>
          <w:u w:val="single"/>
        </w:rPr>
        <w:t xml:space="preserve">          </w:t>
      </w:r>
      <w:r>
        <w:rPr>
          <w:rFonts w:hint="eastAsia" w:ascii="仿宋" w:hAnsi="仿宋" w:eastAsia="仿宋" w:cs="仿宋"/>
          <w:sz w:val="32"/>
          <w:szCs w:val="32"/>
        </w:rPr>
        <w:t>仲裁委员会进行仲裁。</w:t>
      </w:r>
      <w:r>
        <w:rPr>
          <w:rFonts w:hint="eastAsia" w:ascii="仿宋" w:hAnsi="仿宋" w:eastAsia="仿宋" w:cs="仿宋"/>
          <w:sz w:val="32"/>
          <w:szCs w:val="32"/>
        </w:rPr>
        <w:br w:type="textWrapping"/>
      </w:r>
      <w:r>
        <w:rPr>
          <w:rFonts w:hint="eastAsia" w:ascii="仿宋" w:hAnsi="仿宋" w:eastAsia="仿宋" w:cs="仿宋"/>
          <w:sz w:val="32"/>
          <w:szCs w:val="32"/>
        </w:rPr>
        <w:t xml:space="preserve">   （2）向</w:t>
      </w:r>
      <w:r>
        <w:rPr>
          <w:rFonts w:hint="eastAsia" w:ascii="仿宋" w:hAnsi="仿宋" w:eastAsia="仿宋" w:cs="仿宋"/>
          <w:sz w:val="32"/>
          <w:szCs w:val="32"/>
          <w:u w:val="single"/>
        </w:rPr>
        <w:t xml:space="preserve">            </w:t>
      </w:r>
      <w:r>
        <w:rPr>
          <w:rFonts w:hint="eastAsia" w:ascii="仿宋" w:hAnsi="仿宋" w:eastAsia="仿宋" w:cs="仿宋"/>
          <w:sz w:val="32"/>
          <w:szCs w:val="32"/>
        </w:rPr>
        <w:t>人民法院提起诉讼。</w:t>
      </w:r>
    </w:p>
    <w:p>
      <w:pPr>
        <w:spacing w:line="360" w:lineRule="auto"/>
        <w:ind w:firstLine="643" w:firstLineChars="200"/>
        <w:rPr>
          <w:rStyle w:val="15"/>
          <w:rFonts w:hint="eastAsia" w:ascii="仿宋" w:hAnsi="仿宋" w:eastAsia="仿宋" w:cs="仿宋"/>
          <w:b w:val="0"/>
          <w:sz w:val="32"/>
          <w:szCs w:val="32"/>
        </w:rPr>
      </w:pPr>
      <w:bookmarkStart w:id="80" w:name="_Toc419045123"/>
      <w:bookmarkStart w:id="81" w:name="_Toc422322550"/>
      <w:r>
        <w:rPr>
          <w:rStyle w:val="14"/>
          <w:rFonts w:hint="eastAsia" w:ascii="仿宋" w:hAnsi="仿宋" w:eastAsia="仿宋" w:cs="仿宋"/>
          <w:sz w:val="32"/>
          <w:szCs w:val="32"/>
        </w:rPr>
        <w:t>8. 其他</w:t>
      </w:r>
      <w:bookmarkEnd w:id="80"/>
      <w:bookmarkEnd w:id="81"/>
    </w:p>
    <w:p>
      <w:pPr>
        <w:pStyle w:val="5"/>
        <w:spacing w:before="60"/>
        <w:ind w:firstLine="640" w:firstLineChars="200"/>
        <w:jc w:val="left"/>
        <w:rPr>
          <w:rFonts w:hint="eastAsia" w:ascii="仿宋" w:hAnsi="仿宋" w:eastAsia="仿宋" w:cs="仿宋"/>
          <w:b w:val="0"/>
          <w:sz w:val="32"/>
          <w:szCs w:val="32"/>
        </w:rPr>
      </w:pPr>
      <w:bookmarkStart w:id="82" w:name="_Toc422322551"/>
      <w:r>
        <w:rPr>
          <w:rFonts w:hint="eastAsia" w:ascii="仿宋" w:hAnsi="仿宋" w:eastAsia="仿宋" w:cs="仿宋"/>
          <w:b w:val="0"/>
          <w:sz w:val="32"/>
          <w:szCs w:val="32"/>
        </w:rPr>
        <w:t>8.1考察及相关费用</w:t>
      </w:r>
      <w:bookmarkEnd w:id="82"/>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咨询人经委托人同意进行考察发生的费用由</w:t>
      </w:r>
      <w:r>
        <w:rPr>
          <w:rFonts w:hint="eastAsia" w:ascii="仿宋" w:hAnsi="仿宋" w:eastAsia="仿宋" w:cs="仿宋"/>
          <w:sz w:val="32"/>
          <w:szCs w:val="32"/>
          <w:u w:val="single"/>
        </w:rPr>
        <w:t xml:space="preserve">    /    </w:t>
      </w:r>
      <w:r>
        <w:rPr>
          <w:rFonts w:hint="eastAsia" w:ascii="仿宋" w:hAnsi="仿宋" w:eastAsia="仿宋" w:cs="仿宋"/>
          <w:sz w:val="32"/>
          <w:szCs w:val="32"/>
        </w:rPr>
        <w:t>支付。</w:t>
      </w:r>
    </w:p>
    <w:p>
      <w:pPr>
        <w:spacing w:line="360" w:lineRule="auto"/>
        <w:ind w:firstLine="640" w:firstLineChars="200"/>
        <w:rPr>
          <w:rStyle w:val="15"/>
          <w:rFonts w:hint="eastAsia" w:ascii="仿宋" w:hAnsi="仿宋" w:eastAsia="仿宋" w:cs="仿宋"/>
          <w:b w:val="0"/>
          <w:sz w:val="32"/>
          <w:szCs w:val="32"/>
        </w:rPr>
      </w:pPr>
      <w:r>
        <w:rPr>
          <w:rFonts w:hint="eastAsia" w:ascii="仿宋" w:hAnsi="仿宋" w:eastAsia="仿宋" w:cs="仿宋"/>
          <w:sz w:val="32"/>
          <w:szCs w:val="32"/>
        </w:rPr>
        <w:t>差旅费及相关费用的支付：</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          </w:t>
      </w:r>
    </w:p>
    <w:p>
      <w:pPr>
        <w:pStyle w:val="5"/>
        <w:spacing w:before="60"/>
        <w:ind w:firstLine="640" w:firstLineChars="200"/>
        <w:jc w:val="left"/>
        <w:rPr>
          <w:rFonts w:hint="eastAsia" w:ascii="仿宋" w:hAnsi="仿宋" w:eastAsia="仿宋" w:cs="仿宋"/>
          <w:b w:val="0"/>
          <w:sz w:val="32"/>
          <w:szCs w:val="32"/>
        </w:rPr>
      </w:pPr>
      <w:bookmarkStart w:id="83" w:name="_Toc422322552"/>
      <w:r>
        <w:rPr>
          <w:rFonts w:hint="eastAsia" w:ascii="仿宋" w:hAnsi="仿宋" w:eastAsia="仿宋" w:cs="仿宋"/>
          <w:b w:val="0"/>
          <w:sz w:val="32"/>
          <w:szCs w:val="32"/>
        </w:rPr>
        <w:t>8.2奖励</w:t>
      </w:r>
      <w:bookmarkEnd w:id="83"/>
    </w:p>
    <w:p>
      <w:pPr>
        <w:spacing w:line="360" w:lineRule="auto"/>
        <w:ind w:firstLine="640" w:firstLineChars="200"/>
        <w:rPr>
          <w:rStyle w:val="15"/>
          <w:rFonts w:hint="eastAsia" w:ascii="仿宋" w:hAnsi="仿宋" w:eastAsia="仿宋" w:cs="仿宋"/>
          <w:b w:val="0"/>
          <w:sz w:val="32"/>
          <w:szCs w:val="32"/>
        </w:rPr>
      </w:pPr>
      <w:r>
        <w:rPr>
          <w:rFonts w:hint="eastAsia" w:ascii="仿宋" w:hAnsi="仿宋" w:eastAsia="仿宋" w:cs="仿宋"/>
          <w:sz w:val="32"/>
          <w:szCs w:val="32"/>
        </w:rPr>
        <w:t>合理化建议的奖励金额按下列方法确定：</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 </w:t>
      </w:r>
    </w:p>
    <w:p>
      <w:pPr>
        <w:pStyle w:val="5"/>
        <w:spacing w:before="60"/>
        <w:ind w:firstLine="640" w:firstLineChars="200"/>
        <w:jc w:val="left"/>
        <w:rPr>
          <w:rFonts w:hint="eastAsia" w:ascii="仿宋" w:hAnsi="仿宋" w:eastAsia="仿宋" w:cs="仿宋"/>
          <w:b w:val="0"/>
          <w:sz w:val="32"/>
          <w:szCs w:val="32"/>
        </w:rPr>
      </w:pPr>
      <w:bookmarkStart w:id="84" w:name="_Toc422322553"/>
      <w:r>
        <w:rPr>
          <w:rFonts w:hint="eastAsia" w:ascii="仿宋" w:hAnsi="仿宋" w:eastAsia="仿宋" w:cs="仿宋"/>
          <w:b w:val="0"/>
          <w:sz w:val="32"/>
          <w:szCs w:val="32"/>
        </w:rPr>
        <w:t>8.3保密</w:t>
      </w:r>
      <w:bookmarkEnd w:id="84"/>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委托人申明的保密事项和期限：</w:t>
      </w:r>
      <w:r>
        <w:rPr>
          <w:rFonts w:hint="eastAsia" w:ascii="仿宋" w:hAnsi="仿宋" w:eastAsia="仿宋" w:cs="仿宋"/>
          <w:sz w:val="32"/>
          <w:szCs w:val="32"/>
          <w:u w:val="single"/>
        </w:rPr>
        <w:t xml:space="preserve">     /       </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xml:space="preserve">    咨询人申明的保密事项和期限：</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第三人申明的保密事项和期限：</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480" w:firstLineChars="150"/>
        <w:rPr>
          <w:rFonts w:hint="eastAsia" w:ascii="仿宋" w:hAnsi="仿宋" w:eastAsia="仿宋" w:cs="仿宋"/>
          <w:bCs/>
          <w:kern w:val="28"/>
          <w:sz w:val="32"/>
          <w:szCs w:val="32"/>
        </w:rPr>
      </w:pPr>
      <w:bookmarkStart w:id="85" w:name="_Toc422322554"/>
      <w:r>
        <w:rPr>
          <w:rStyle w:val="15"/>
          <w:rFonts w:hint="eastAsia" w:ascii="仿宋" w:hAnsi="仿宋" w:eastAsia="仿宋" w:cs="仿宋"/>
          <w:b w:val="0"/>
          <w:sz w:val="32"/>
          <w:szCs w:val="32"/>
        </w:rPr>
        <w:t>8.4联络</w:t>
      </w:r>
      <w:bookmarkEnd w:id="85"/>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8.4.1任何一方与合同有关的通知、指示、要求、决定等，均应在</w:t>
      </w:r>
      <w:r>
        <w:rPr>
          <w:rFonts w:hint="eastAsia" w:ascii="仿宋" w:hAnsi="仿宋" w:eastAsia="仿宋" w:cs="仿宋"/>
          <w:sz w:val="32"/>
          <w:szCs w:val="32"/>
          <w:u w:val="single"/>
        </w:rPr>
        <w:t xml:space="preserve">  7  </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日内送达对方指定的接收人和送达地点。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8.4.2委托人指定的送达接收人：__________，送达地点：__________，电子邮箱：__________。</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咨询人指定的送达接收人：</w:t>
      </w:r>
      <w:r>
        <w:rPr>
          <w:rFonts w:hint="eastAsia" w:ascii="仿宋" w:hAnsi="仿宋" w:eastAsia="仿宋" w:cs="仿宋"/>
          <w:sz w:val="32"/>
          <w:szCs w:val="32"/>
          <w:u w:val="single"/>
        </w:rPr>
        <w:t xml:space="preserve">  /  </w:t>
      </w:r>
      <w:r>
        <w:rPr>
          <w:rFonts w:hint="eastAsia" w:ascii="仿宋" w:hAnsi="仿宋" w:eastAsia="仿宋" w:cs="仿宋"/>
          <w:sz w:val="32"/>
          <w:szCs w:val="32"/>
        </w:rPr>
        <w:t>，送达地点：</w:t>
      </w:r>
      <w:r>
        <w:rPr>
          <w:rFonts w:hint="eastAsia" w:ascii="仿宋" w:hAnsi="仿宋" w:eastAsia="仿宋" w:cs="仿宋"/>
          <w:sz w:val="32"/>
          <w:szCs w:val="32"/>
          <w:u w:val="single"/>
        </w:rPr>
        <w:t xml:space="preserve">  /  </w:t>
      </w:r>
      <w:r>
        <w:rPr>
          <w:rFonts w:hint="eastAsia" w:ascii="仿宋" w:hAnsi="仿宋" w:eastAsia="仿宋" w:cs="仿宋"/>
          <w:sz w:val="32"/>
          <w:szCs w:val="32"/>
        </w:rPr>
        <w:t>，电子邮箱：</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480" w:firstLineChars="150"/>
        <w:rPr>
          <w:rStyle w:val="15"/>
          <w:rFonts w:hint="eastAsia" w:ascii="仿宋" w:hAnsi="仿宋" w:eastAsia="仿宋" w:cs="仿宋"/>
          <w:b w:val="0"/>
          <w:sz w:val="32"/>
          <w:szCs w:val="32"/>
        </w:rPr>
      </w:pPr>
      <w:bookmarkStart w:id="86" w:name="_Toc419045124"/>
      <w:bookmarkStart w:id="87" w:name="_Toc422322555"/>
      <w:r>
        <w:rPr>
          <w:rStyle w:val="15"/>
          <w:rFonts w:hint="eastAsia" w:ascii="仿宋" w:hAnsi="仿宋" w:eastAsia="仿宋" w:cs="仿宋"/>
          <w:b w:val="0"/>
          <w:sz w:val="32"/>
          <w:szCs w:val="32"/>
        </w:rPr>
        <w:t>8.5知识产权</w:t>
      </w:r>
      <w:bookmarkEnd w:id="86"/>
      <w:bookmarkEnd w:id="87"/>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委托人提供给咨询人的图纸、委托人为实施工程自行编制或委托编制的技术规范以及反映委托人要求的或其他类似性质文件的著作权属于</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咨询人为履行本合同约定而编制的成果文件，其著作权属于</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双方将履行本合同形成的有关成果文件用于企业宣传、申报奖项以及接受上级主管部门的检查须遵守以下约定：</w:t>
      </w:r>
      <w:r>
        <w:rPr>
          <w:rFonts w:hint="eastAsia" w:ascii="仿宋" w:hAnsi="仿宋" w:eastAsia="仿宋" w:cs="仿宋"/>
          <w:sz w:val="32"/>
          <w:szCs w:val="32"/>
          <w:u w:val="single"/>
        </w:rPr>
        <w:t xml:space="preserve">        /    </w:t>
      </w:r>
      <w:bookmarkStart w:id="88" w:name="_Toc422322556"/>
      <w:bookmarkStart w:id="89" w:name="_Toc419045125"/>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numPr>
          <w:ilvl w:val="0"/>
          <w:numId w:val="3"/>
        </w:numPr>
        <w:spacing w:line="360" w:lineRule="auto"/>
        <w:ind w:firstLine="630" w:firstLineChars="196"/>
        <w:rPr>
          <w:rStyle w:val="14"/>
          <w:rFonts w:hint="eastAsia" w:ascii="仿宋" w:hAnsi="仿宋" w:eastAsia="仿宋" w:cs="仿宋"/>
          <w:sz w:val="32"/>
          <w:szCs w:val="32"/>
        </w:rPr>
      </w:pPr>
      <w:r>
        <w:rPr>
          <w:rStyle w:val="14"/>
          <w:rFonts w:hint="eastAsia" w:ascii="仿宋" w:hAnsi="仿宋" w:eastAsia="仿宋" w:cs="仿宋"/>
          <w:sz w:val="32"/>
          <w:szCs w:val="32"/>
        </w:rPr>
        <w:t>补充条款</w:t>
      </w:r>
      <w:bookmarkEnd w:id="88"/>
      <w:bookmarkEnd w:id="89"/>
    </w:p>
    <w:p>
      <w:pPr>
        <w:spacing w:line="360" w:lineRule="auto"/>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9.1</w:t>
      </w:r>
      <w:r>
        <w:rPr>
          <w:rFonts w:hint="eastAsia" w:ascii="仿宋" w:hAnsi="仿宋" w:eastAsia="仿宋" w:cs="仿宋"/>
          <w:sz w:val="32"/>
          <w:szCs w:val="32"/>
        </w:rPr>
        <w:t>合同未约定预算收费基数时：按造价为收费基数的，原则上按照现行定额计价规则为依据计算预算造价；按建筑面积为收费基数的，原则上按计价规则计算建筑面积收费。暂估价、暂列金额应明确是否计入收费基数中。分阶段出具咨询成果报告的按各阶段单独计费。</w:t>
      </w:r>
    </w:p>
    <w:p>
      <w:pPr>
        <w:spacing w:line="360" w:lineRule="auto"/>
        <w:ind w:firstLine="640" w:firstLineChars="200"/>
        <w:rPr>
          <w:rFonts w:hint="eastAsia" w:ascii="仿宋" w:hAnsi="仿宋" w:eastAsia="仿宋" w:cs="仿宋"/>
          <w:color w:val="00B050"/>
          <w:sz w:val="32"/>
          <w:szCs w:val="32"/>
          <w:u w:val="single"/>
        </w:rPr>
      </w:pPr>
      <w:r>
        <w:rPr>
          <w:rFonts w:hint="eastAsia" w:ascii="仿宋" w:hAnsi="仿宋" w:eastAsia="仿宋" w:cs="仿宋"/>
          <w:color w:val="auto"/>
          <w:sz w:val="32"/>
          <w:szCs w:val="32"/>
          <w:u w:val="none"/>
        </w:rPr>
        <w:t>9.2</w:t>
      </w:r>
      <w:r>
        <w:rPr>
          <w:rFonts w:hint="eastAsia" w:ascii="仿宋" w:hAnsi="仿宋" w:eastAsia="仿宋" w:cs="仿宋"/>
          <w:color w:val="auto"/>
          <w:sz w:val="32"/>
          <w:szCs w:val="32"/>
        </w:rPr>
        <w:t>咨询成果质量应满足《浙江省建设工程造价质量导则（试行）》（浙建站市[2015]54号）及委托人的要求，也可参照下表执行。</w:t>
      </w:r>
    </w:p>
    <w:p>
      <w:pPr>
        <w:spacing w:line="360" w:lineRule="auto"/>
        <w:ind w:firstLine="57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咨询成果质量综合误差率参考标准表</w:t>
      </w:r>
    </w:p>
    <w:tbl>
      <w:tblPr>
        <w:tblStyle w:val="9"/>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27"/>
        <w:gridCol w:w="3131"/>
        <w:gridCol w:w="1670"/>
        <w:gridCol w:w="1006"/>
        <w:gridCol w:w="110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4258" w:type="dxa"/>
            <w:gridSpan w:val="2"/>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服务内容</w:t>
            </w:r>
          </w:p>
        </w:tc>
        <w:tc>
          <w:tcPr>
            <w:tcW w:w="1670" w:type="dxa"/>
            <w:vAlign w:val="center"/>
          </w:tcPr>
          <w:p>
            <w:pPr>
              <w:jc w:val="center"/>
              <w:rPr>
                <w:rFonts w:hint="eastAsia" w:ascii="仿宋" w:hAnsi="仿宋" w:eastAsia="仿宋" w:cs="仿宋"/>
                <w:b/>
                <w:sz w:val="32"/>
                <w:szCs w:val="32"/>
              </w:rPr>
            </w:pPr>
            <w:r>
              <w:rPr>
                <w:rFonts w:hint="eastAsia" w:ascii="仿宋" w:hAnsi="仿宋" w:eastAsia="仿宋" w:cs="仿宋"/>
                <w:b/>
                <w:sz w:val="32"/>
                <w:szCs w:val="32"/>
              </w:rPr>
              <w:t>浙江省导则（≤%）</w:t>
            </w:r>
          </w:p>
        </w:tc>
        <w:tc>
          <w:tcPr>
            <w:tcW w:w="1006"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不合格（</w:t>
            </w:r>
            <w:r>
              <w:rPr>
                <w:rFonts w:hint="eastAsia" w:ascii="仿宋" w:hAnsi="仿宋" w:eastAsia="仿宋" w:cs="仿宋"/>
                <w:sz w:val="32"/>
                <w:szCs w:val="32"/>
              </w:rPr>
              <w:t>＞</w:t>
            </w:r>
            <w:r>
              <w:rPr>
                <w:rFonts w:hint="eastAsia" w:ascii="仿宋" w:hAnsi="仿宋" w:eastAsia="仿宋" w:cs="仿宋"/>
                <w:b/>
                <w:sz w:val="32"/>
                <w:szCs w:val="32"/>
              </w:rPr>
              <w:t>%）</w:t>
            </w:r>
          </w:p>
        </w:tc>
        <w:tc>
          <w:tcPr>
            <w:tcW w:w="1108"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合格（%）</w:t>
            </w:r>
          </w:p>
        </w:tc>
        <w:tc>
          <w:tcPr>
            <w:tcW w:w="1101" w:type="dxa"/>
            <w:vAlign w:val="top"/>
          </w:tcPr>
          <w:p>
            <w:pPr>
              <w:jc w:val="center"/>
              <w:rPr>
                <w:rFonts w:hint="eastAsia" w:ascii="仿宋" w:hAnsi="仿宋" w:eastAsia="仿宋" w:cs="仿宋"/>
                <w:b/>
                <w:sz w:val="32"/>
                <w:szCs w:val="32"/>
              </w:rPr>
            </w:pPr>
            <w:r>
              <w:rPr>
                <w:rFonts w:hint="eastAsia" w:ascii="仿宋" w:hAnsi="仿宋" w:eastAsia="仿宋" w:cs="仿宋"/>
                <w:b/>
                <w:sz w:val="32"/>
                <w:szCs w:val="3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项目建议书阶段建设项目投资估算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20</w:t>
            </w:r>
          </w:p>
        </w:tc>
        <w:tc>
          <w:tcPr>
            <w:tcW w:w="100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20</w:t>
            </w:r>
          </w:p>
        </w:tc>
        <w:tc>
          <w:tcPr>
            <w:tcW w:w="1108"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10-20</w:t>
            </w:r>
          </w:p>
        </w:tc>
        <w:tc>
          <w:tcPr>
            <w:tcW w:w="1101"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可行性研究建设项目投资估算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7.5-15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建设项目的初步设计阶段设计概算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8</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8</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4-8</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施工图预算</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27" w:type="dxa"/>
            <w:vMerge w:val="restart"/>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工程量清单编审</w:t>
            </w: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工程量清单中项目特征描述错误的子目数量占工程量清单全部数量的比例</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工程量清单错误造成招标控制价的误差率</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工程量清单与单价因素之和的综合误差率</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127" w:type="dxa"/>
            <w:vMerge w:val="restart"/>
            <w:vAlign w:val="center"/>
          </w:tcPr>
          <w:p>
            <w:pPr>
              <w:jc w:val="left"/>
              <w:rPr>
                <w:rFonts w:hint="eastAsia" w:ascii="仿宋" w:hAnsi="仿宋" w:eastAsia="仿宋" w:cs="仿宋"/>
                <w:sz w:val="32"/>
                <w:szCs w:val="32"/>
              </w:rPr>
            </w:pPr>
            <w:r>
              <w:rPr>
                <w:rFonts w:hint="eastAsia" w:ascii="仿宋" w:hAnsi="仿宋" w:eastAsia="仿宋" w:cs="仿宋"/>
                <w:sz w:val="32"/>
                <w:szCs w:val="32"/>
              </w:rPr>
              <w:t>招标控制价编审</w:t>
            </w: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单独编制招标控制价</w:t>
            </w:r>
          </w:p>
        </w:tc>
        <w:tc>
          <w:tcPr>
            <w:tcW w:w="1670" w:type="dxa"/>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70" w:type="dxa"/>
            <w:vMerge w:val="continue"/>
            <w:vAlign w:val="center"/>
          </w:tcPr>
          <w:p>
            <w:pPr>
              <w:jc w:val="center"/>
              <w:rPr>
                <w:rFonts w:hint="eastAsia" w:ascii="仿宋" w:hAnsi="仿宋" w:eastAsia="仿宋" w:cs="仿宋"/>
                <w:sz w:val="32"/>
                <w:szCs w:val="32"/>
              </w:rPr>
            </w:pPr>
          </w:p>
        </w:tc>
        <w:tc>
          <w:tcPr>
            <w:tcW w:w="1127" w:type="dxa"/>
            <w:vMerge w:val="continue"/>
            <w:vAlign w:val="center"/>
          </w:tcPr>
          <w:p>
            <w:pPr>
              <w:jc w:val="left"/>
              <w:rPr>
                <w:rFonts w:hint="eastAsia" w:ascii="仿宋" w:hAnsi="仿宋" w:eastAsia="仿宋" w:cs="仿宋"/>
                <w:sz w:val="32"/>
                <w:szCs w:val="32"/>
              </w:rPr>
            </w:pPr>
          </w:p>
        </w:tc>
        <w:tc>
          <w:tcPr>
            <w:tcW w:w="3131" w:type="dxa"/>
            <w:vAlign w:val="center"/>
          </w:tcPr>
          <w:p>
            <w:pPr>
              <w:jc w:val="left"/>
              <w:rPr>
                <w:rFonts w:hint="eastAsia" w:ascii="仿宋" w:hAnsi="仿宋" w:eastAsia="仿宋" w:cs="仿宋"/>
                <w:sz w:val="32"/>
                <w:szCs w:val="32"/>
              </w:rPr>
            </w:pPr>
            <w:r>
              <w:rPr>
                <w:rFonts w:hint="eastAsia" w:ascii="仿宋" w:hAnsi="仿宋" w:eastAsia="仿宋" w:cs="仿宋"/>
                <w:sz w:val="32"/>
                <w:szCs w:val="32"/>
              </w:rPr>
              <w:t>同时编制工程量清单和招标控制价</w:t>
            </w:r>
          </w:p>
        </w:tc>
        <w:tc>
          <w:tcPr>
            <w:tcW w:w="1670" w:type="dxa"/>
            <w:vMerge w:val="continue"/>
            <w:vAlign w:val="center"/>
          </w:tcPr>
          <w:p>
            <w:pPr>
              <w:jc w:val="center"/>
              <w:rPr>
                <w:rFonts w:hint="eastAsia" w:ascii="仿宋" w:hAnsi="仿宋" w:eastAsia="仿宋" w:cs="仿宋"/>
                <w:sz w:val="32"/>
                <w:szCs w:val="32"/>
              </w:rPr>
            </w:pP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2.5-5</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7</w:t>
            </w:r>
          </w:p>
        </w:tc>
        <w:tc>
          <w:tcPr>
            <w:tcW w:w="4258" w:type="dxa"/>
            <w:gridSpan w:val="2"/>
            <w:vAlign w:val="center"/>
          </w:tcPr>
          <w:p>
            <w:pPr>
              <w:jc w:val="left"/>
              <w:rPr>
                <w:rFonts w:hint="eastAsia" w:ascii="仿宋" w:hAnsi="仿宋" w:eastAsia="仿宋" w:cs="仿宋"/>
                <w:sz w:val="32"/>
                <w:szCs w:val="32"/>
              </w:rPr>
            </w:pPr>
            <w:r>
              <w:rPr>
                <w:rFonts w:hint="eastAsia" w:ascii="仿宋" w:hAnsi="仿宋" w:eastAsia="仿宋" w:cs="仿宋"/>
                <w:sz w:val="32"/>
                <w:szCs w:val="32"/>
              </w:rPr>
              <w:t>竣工结算审核</w:t>
            </w:r>
          </w:p>
        </w:tc>
        <w:tc>
          <w:tcPr>
            <w:tcW w:w="167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0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1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1.5-3</w:t>
            </w:r>
          </w:p>
        </w:tc>
        <w:tc>
          <w:tcPr>
            <w:tcW w:w="110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bl>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备注：《浙江省建设工程造价咨询质量导则（试行）》简称浙江省导则</w:t>
      </w:r>
      <w:r>
        <w:rPr>
          <w:rFonts w:hint="eastAsia" w:ascii="仿宋" w:hAnsi="仿宋" w:eastAsia="仿宋" w:cs="仿宋"/>
          <w:color w:val="auto"/>
          <w:sz w:val="32"/>
          <w:szCs w:val="32"/>
        </w:rPr>
        <w:t>，</w:t>
      </w:r>
      <w:r>
        <w:rPr>
          <w:rFonts w:hint="eastAsia" w:ascii="仿宋" w:hAnsi="仿宋" w:eastAsia="仿宋" w:cs="仿宋"/>
          <w:color w:val="000000"/>
          <w:sz w:val="32"/>
          <w:szCs w:val="32"/>
        </w:rPr>
        <w:t>不合格、合格、优秀的误差率划分依据省导则。</w:t>
      </w:r>
    </w:p>
    <w:p>
      <w:pPr>
        <w:spacing w:line="360" w:lineRule="auto"/>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9.3建设工程造价咨询工期工期应满足CECA/GC10-2014《建设工程造价咨询工期标准》（另册）及委托人的要求。建设工程造价咨询工期在标准工期80%-100%之间的，咨询酬金可不增加；建设工程造价咨询工期在标准工期60%-80%之间的，委托人应审查咨询人编制方案的合理性，并增加相应酬金。</w:t>
      </w:r>
    </w:p>
    <w:p>
      <w:pPr>
        <w:spacing w:line="360" w:lineRule="auto"/>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9.4咨询人的违约金及赔偿金额应合理考虑其风险承受能力，无约定的可参照下列方式。</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u w:val="none"/>
        </w:rPr>
        <w:t>9.4.1</w:t>
      </w:r>
      <w:r>
        <w:rPr>
          <w:rFonts w:hint="eastAsia" w:ascii="仿宋" w:hAnsi="仿宋" w:eastAsia="仿宋" w:cs="仿宋"/>
          <w:color w:val="000000"/>
          <w:sz w:val="32"/>
          <w:szCs w:val="32"/>
        </w:rPr>
        <w:t>咨询成果质量奖罚标准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综合误差率达到《咨询成果质量综合误差率参考标准表》“优秀值”标准的，应予以奖励。奖励额度要在咨询合同中明确约定。建议最多不超过20%的咨询费。并在最后一期咨询费中支付。</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综合误差率在“合格”范围内的，不奖不罚。</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合误差率在“不合格”范围内的，被委托人应当无偿提供技术支持修正误差，减少委托人的实际损失并支付质量违约金。每超出1%，咨询人应支付咨询费用10%的质量违约金；以此类推。如没有给委托人造成实际损失的，咨询人质量违约金的上限为50%；如给委托人造成实际损失的，咨询人质量违约金的上限为100%。并按照相关的法律法规的相应条款进行处理。</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u w:val="none"/>
        </w:rPr>
        <w:t>9.4.2</w:t>
      </w:r>
      <w:r>
        <w:rPr>
          <w:rFonts w:hint="eastAsia" w:ascii="仿宋" w:hAnsi="仿宋" w:eastAsia="仿宋" w:cs="仿宋"/>
          <w:color w:val="000000"/>
          <w:sz w:val="32"/>
          <w:szCs w:val="32"/>
        </w:rPr>
        <w:t>工期奖罚标准</w:t>
      </w:r>
    </w:p>
    <w:p>
      <w:pPr>
        <w:spacing w:line="360" w:lineRule="auto"/>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因咨询人原因造成的作业期延误，每延期一天罚款咨询服务费1%。作业期提前的，合同双方另行协商。违约金及赔偿金额累计最高上限不应超过咨询费总额（除去税金），违反法律规定的从法律规定。</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9.5服务评价奖罚标准</w:t>
      </w:r>
    </w:p>
    <w:tbl>
      <w:tblPr>
        <w:tblStyle w:val="9"/>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9713" w:type="dxa"/>
            <w:vAlign w:val="top"/>
          </w:tcPr>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委托人的合同服务水准评价</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一、评价依据</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1、咨询项目组人员专业结构配备合理性。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2、咨询项目组人员符合性。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3、咨询项目组人员专业技术能力。</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4、咨询项目组人员综合沟通能力，服务水平。</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5、咨询成果提交的时效性。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二、评价结果</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委托人履约评价分优秀、合格、不合格三项等级。</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三、奖罚机制</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评价为优秀的，适当给予合同额10%的奖励；评价为合格的，不奖不罚；评价为不合格的，受托人支付10%的合同额的违约金。</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奖惩金额，也可由合同双方自行约定。</w:t>
            </w:r>
          </w:p>
          <w:p>
            <w:pPr>
              <w:spacing w:line="360" w:lineRule="auto"/>
              <w:jc w:val="center"/>
              <w:rPr>
                <w:rFonts w:hint="eastAsia" w:ascii="仿宋" w:hAnsi="仿宋" w:eastAsia="仿宋" w:cs="仿宋"/>
                <w:b/>
                <w:sz w:val="32"/>
                <w:szCs w:val="32"/>
              </w:rPr>
            </w:pPr>
          </w:p>
        </w:tc>
      </w:tr>
    </w:tbl>
    <w:p>
      <w:pPr>
        <w:spacing w:line="360" w:lineRule="auto"/>
        <w:ind w:firstLine="570" w:firstLineChars="0"/>
        <w:jc w:val="left"/>
        <w:rPr>
          <w:rFonts w:hint="eastAsia" w:ascii="仿宋" w:hAnsi="仿宋" w:eastAsia="仿宋" w:cs="仿宋"/>
          <w:sz w:val="32"/>
          <w:szCs w:val="32"/>
        </w:rPr>
      </w:pPr>
    </w:p>
    <w:p>
      <w:pPr>
        <w:spacing w:line="360" w:lineRule="auto"/>
        <w:ind w:firstLine="960" w:firstLineChars="300"/>
        <w:rPr>
          <w:rFonts w:hint="eastAsia" w:ascii="仿宋" w:hAnsi="仿宋" w:eastAsia="仿宋" w:cs="仿宋"/>
          <w:b/>
          <w:sz w:val="32"/>
          <w:szCs w:val="32"/>
          <w:u w:val="single"/>
        </w:rPr>
      </w:pPr>
      <w:r>
        <w:rPr>
          <w:rFonts w:hint="eastAsia" w:ascii="仿宋" w:hAnsi="仿宋" w:eastAsia="仿宋" w:cs="仿宋"/>
          <w:sz w:val="32"/>
          <w:szCs w:val="32"/>
        </w:rPr>
        <w:t xml:space="preserve"> </w:t>
      </w:r>
    </w:p>
    <w:p>
      <w:pPr>
        <w:spacing w:line="360" w:lineRule="auto"/>
        <w:rPr>
          <w:rFonts w:hint="eastAsia" w:ascii="仿宋" w:hAnsi="仿宋" w:eastAsia="仿宋" w:cs="仿宋"/>
          <w:b/>
          <w:sz w:val="32"/>
          <w:szCs w:val="32"/>
          <w:u w:val="single"/>
        </w:rPr>
        <w:sectPr>
          <w:headerReference r:id="rId3" w:type="default"/>
          <w:footerReference r:id="rId4" w:type="default"/>
          <w:pgSz w:w="11906" w:h="16838"/>
          <w:pgMar w:top="1287" w:right="1247" w:bottom="1587" w:left="1502" w:header="851" w:footer="992" w:gutter="0"/>
          <w:pgNumType w:start="1"/>
          <w:cols w:space="0" w:num="1"/>
          <w:rtlGutter w:val="0"/>
          <w:docGrid w:linePitch="312" w:charSpace="0"/>
        </w:sectPr>
      </w:pPr>
    </w:p>
    <w:p>
      <w:pPr>
        <w:pStyle w:val="2"/>
        <w:spacing w:before="0" w:after="0"/>
        <w:jc w:val="center"/>
        <w:rPr>
          <w:rFonts w:hint="eastAsia" w:ascii="仿宋" w:hAnsi="仿宋" w:eastAsia="仿宋" w:cs="仿宋"/>
          <w:sz w:val="32"/>
          <w:szCs w:val="32"/>
        </w:rPr>
      </w:pPr>
      <w:bookmarkStart w:id="90" w:name="_Toc422322557"/>
      <w:bookmarkStart w:id="91" w:name="_Toc419045126"/>
      <w:r>
        <w:rPr>
          <w:rFonts w:hint="eastAsia" w:ascii="仿宋" w:hAnsi="仿宋" w:eastAsia="仿宋" w:cs="仿宋"/>
          <w:sz w:val="32"/>
          <w:szCs w:val="32"/>
        </w:rPr>
        <w:t>附录A 服务范围及工作内容、酬金一览表</w:t>
      </w:r>
      <w:bookmarkEnd w:id="90"/>
      <w:bookmarkEnd w:id="91"/>
    </w:p>
    <w:tbl>
      <w:tblPr>
        <w:tblStyle w:val="9"/>
        <w:tblW w:w="1442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35"/>
        <w:gridCol w:w="2352"/>
        <w:gridCol w:w="1494"/>
        <w:gridCol w:w="2265"/>
        <w:gridCol w:w="28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623" w:type="dxa"/>
            <w:vMerge w:val="restart"/>
            <w:vAlign w:val="center"/>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服务阶段</w:t>
            </w:r>
          </w:p>
        </w:tc>
        <w:tc>
          <w:tcPr>
            <w:tcW w:w="5187" w:type="dxa"/>
            <w:gridSpan w:val="2"/>
            <w:vAlign w:val="center"/>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服务范围及工作内容</w:t>
            </w:r>
          </w:p>
        </w:tc>
        <w:tc>
          <w:tcPr>
            <w:tcW w:w="6618" w:type="dxa"/>
            <w:gridSpan w:val="3"/>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酬金</w:t>
            </w:r>
          </w:p>
        </w:tc>
        <w:tc>
          <w:tcPr>
            <w:tcW w:w="992"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1623" w:type="dxa"/>
            <w:vMerge w:val="continue"/>
            <w:vAlign w:val="center"/>
          </w:tcPr>
          <w:p>
            <w:pPr>
              <w:pStyle w:val="6"/>
              <w:widowControl w:val="0"/>
              <w:spacing w:line="360" w:lineRule="auto"/>
              <w:jc w:val="center"/>
              <w:rPr>
                <w:rFonts w:hint="eastAsia" w:ascii="仿宋" w:hAnsi="仿宋" w:eastAsia="仿宋" w:cs="仿宋"/>
                <w:sz w:val="32"/>
                <w:szCs w:val="32"/>
              </w:rPr>
            </w:pPr>
          </w:p>
        </w:tc>
        <w:tc>
          <w:tcPr>
            <w:tcW w:w="2835" w:type="dxa"/>
            <w:vAlign w:val="center"/>
          </w:tcPr>
          <w:p>
            <w:pPr>
              <w:pStyle w:val="6"/>
              <w:widowControl w:val="0"/>
              <w:spacing w:line="360" w:lineRule="auto"/>
              <w:rPr>
                <w:rFonts w:hint="eastAsia" w:ascii="仿宋" w:hAnsi="仿宋" w:eastAsia="仿宋" w:cs="仿宋"/>
                <w:sz w:val="32"/>
                <w:szCs w:val="32"/>
              </w:rPr>
            </w:pPr>
            <w:r>
              <w:rPr>
                <w:rFonts w:hint="eastAsia" w:ascii="仿宋" w:hAnsi="仿宋" w:eastAsia="仿宋" w:cs="仿宋"/>
                <w:sz w:val="32"/>
                <w:szCs w:val="32"/>
              </w:rPr>
              <w:t>服务范围</w:t>
            </w:r>
          </w:p>
        </w:tc>
        <w:tc>
          <w:tcPr>
            <w:tcW w:w="2352" w:type="dxa"/>
            <w:vAlign w:val="center"/>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工作内容</w:t>
            </w:r>
          </w:p>
        </w:tc>
        <w:tc>
          <w:tcPr>
            <w:tcW w:w="1494" w:type="dxa"/>
            <w:vAlign w:val="top"/>
          </w:tcPr>
          <w:p>
            <w:pPr>
              <w:pStyle w:val="6"/>
              <w:widowControl w:val="0"/>
              <w:spacing w:line="360" w:lineRule="auto"/>
              <w:ind w:firstLine="320" w:firstLineChars="100"/>
              <w:jc w:val="both"/>
              <w:rPr>
                <w:rFonts w:hint="eastAsia" w:ascii="仿宋" w:hAnsi="仿宋" w:eastAsia="仿宋" w:cs="仿宋"/>
                <w:sz w:val="32"/>
                <w:szCs w:val="32"/>
              </w:rPr>
            </w:pPr>
            <w:r>
              <w:rPr>
                <w:rFonts w:hint="eastAsia" w:ascii="仿宋" w:hAnsi="仿宋" w:eastAsia="仿宋" w:cs="仿宋"/>
                <w:sz w:val="32"/>
                <w:szCs w:val="32"/>
              </w:rPr>
              <w:t>收费基数</w:t>
            </w:r>
          </w:p>
        </w:tc>
        <w:tc>
          <w:tcPr>
            <w:tcW w:w="2265"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收费标准（比例）</w:t>
            </w:r>
          </w:p>
        </w:tc>
        <w:tc>
          <w:tcPr>
            <w:tcW w:w="2859" w:type="dxa"/>
            <w:vAlign w:val="top"/>
          </w:tcPr>
          <w:p>
            <w:pPr>
              <w:pStyle w:val="6"/>
              <w:widowControl w:val="0"/>
              <w:spacing w:line="360" w:lineRule="auto"/>
              <w:jc w:val="both"/>
              <w:rPr>
                <w:rFonts w:hint="eastAsia" w:ascii="仿宋" w:hAnsi="仿宋" w:eastAsia="仿宋" w:cs="仿宋"/>
                <w:sz w:val="32"/>
                <w:szCs w:val="32"/>
              </w:rPr>
            </w:pPr>
            <w:r>
              <w:rPr>
                <w:rFonts w:hint="eastAsia" w:ascii="仿宋" w:hAnsi="仿宋" w:eastAsia="仿宋" w:cs="仿宋"/>
                <w:sz w:val="32"/>
                <w:szCs w:val="32"/>
              </w:rPr>
              <w:t>酬金数额（单位：万元）</w:t>
            </w:r>
          </w:p>
        </w:tc>
        <w:tc>
          <w:tcPr>
            <w:tcW w:w="992" w:type="dxa"/>
            <w:vAlign w:val="top"/>
          </w:tcPr>
          <w:p>
            <w:pPr>
              <w:pStyle w:val="6"/>
              <w:widowControl w:val="0"/>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1623" w:type="dxa"/>
            <w:vMerge w:val="restart"/>
            <w:vAlign w:val="center"/>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决策阶段</w:t>
            </w:r>
          </w:p>
        </w:tc>
        <w:tc>
          <w:tcPr>
            <w:tcW w:w="2835" w:type="dxa"/>
            <w:vAlign w:val="center"/>
          </w:tcPr>
          <w:p>
            <w:pPr>
              <w:spacing w:line="360" w:lineRule="auto"/>
              <w:rPr>
                <w:rFonts w:hint="eastAsia" w:ascii="仿宋" w:hAnsi="仿宋" w:eastAsia="仿宋" w:cs="仿宋"/>
                <w:sz w:val="32"/>
                <w:szCs w:val="32"/>
              </w:rPr>
            </w:pPr>
            <w:r>
              <w:rPr>
                <w:rFonts w:hint="eastAsia" w:ascii="仿宋" w:hAnsi="仿宋" w:eastAsia="仿宋" w:cs="仿宋"/>
                <w:sz w:val="32"/>
                <w:szCs w:val="32"/>
              </w:rPr>
              <w:t>投资估算</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pStyle w:val="6"/>
              <w:widowControl w:val="0"/>
              <w:spacing w:line="360" w:lineRule="auto"/>
              <w:jc w:val="center"/>
              <w:rPr>
                <w:rFonts w:hint="eastAsia" w:ascii="仿宋" w:hAnsi="仿宋" w:eastAsia="仿宋" w:cs="仿宋"/>
                <w:sz w:val="32"/>
                <w:szCs w:val="32"/>
              </w:rPr>
            </w:pPr>
          </w:p>
        </w:tc>
        <w:tc>
          <w:tcPr>
            <w:tcW w:w="2835" w:type="dxa"/>
            <w:vAlign w:val="center"/>
          </w:tcPr>
          <w:p>
            <w:pPr>
              <w:spacing w:line="360" w:lineRule="auto"/>
              <w:rPr>
                <w:rFonts w:hint="eastAsia" w:ascii="仿宋" w:hAnsi="仿宋" w:eastAsia="仿宋" w:cs="仿宋"/>
                <w:sz w:val="32"/>
                <w:szCs w:val="32"/>
              </w:rPr>
            </w:pPr>
            <w:r>
              <w:rPr>
                <w:rFonts w:hint="eastAsia" w:ascii="仿宋" w:hAnsi="仿宋" w:eastAsia="仿宋" w:cs="仿宋"/>
                <w:sz w:val="32"/>
                <w:szCs w:val="32"/>
              </w:rPr>
              <w:t>经济评价</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pStyle w:val="6"/>
              <w:widowControl w:val="0"/>
              <w:spacing w:line="360" w:lineRule="auto"/>
              <w:jc w:val="center"/>
              <w:rPr>
                <w:rFonts w:hint="eastAsia" w:ascii="仿宋" w:hAnsi="仿宋" w:eastAsia="仿宋" w:cs="仿宋"/>
                <w:sz w:val="32"/>
                <w:szCs w:val="32"/>
              </w:rPr>
            </w:pPr>
          </w:p>
        </w:tc>
        <w:tc>
          <w:tcPr>
            <w:tcW w:w="2835" w:type="dxa"/>
            <w:vAlign w:val="center"/>
          </w:tcPr>
          <w:p>
            <w:pPr>
              <w:spacing w:line="360" w:lineRule="auto"/>
              <w:rPr>
                <w:rFonts w:hint="eastAsia" w:ascii="仿宋" w:hAnsi="仿宋" w:eastAsia="仿宋" w:cs="仿宋"/>
                <w:sz w:val="32"/>
                <w:szCs w:val="32"/>
              </w:rPr>
            </w:pPr>
            <w:r>
              <w:rPr>
                <w:rFonts w:hint="eastAsia" w:ascii="仿宋" w:hAnsi="仿宋" w:eastAsia="仿宋" w:cs="仿宋"/>
                <w:sz w:val="32"/>
                <w:szCs w:val="32"/>
              </w:rPr>
              <w:t>其他：</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restart"/>
            <w:vAlign w:val="center"/>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设计阶段</w:t>
            </w: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设计概算</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pStyle w:val="6"/>
              <w:widowControl w:val="0"/>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施工图预算</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pStyle w:val="6"/>
              <w:widowControl w:val="0"/>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其他：</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restart"/>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发承包阶段</w:t>
            </w: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工程量清单</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最高投标限价</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投标报价分析</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清标报告</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其他：</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3" w:type="dxa"/>
            <w:vMerge w:val="restart"/>
            <w:vAlign w:val="top"/>
          </w:tcPr>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实施阶段</w:t>
            </w: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资金使用计划</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工程计量与工程款审核</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合同价款调整</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工程变更、索赔、签证</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□审核</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工程实施阶段造价控制</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top"/>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其他：</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restart"/>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竣工阶段</w:t>
            </w: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竣工结算</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623" w:type="dxa"/>
            <w:vMerge w:val="continue"/>
            <w:vAlign w:val="center"/>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竣工决算</w:t>
            </w:r>
          </w:p>
        </w:tc>
        <w:tc>
          <w:tcPr>
            <w:tcW w:w="2352"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□编制□审核□调整</w:t>
            </w: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其他：</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restart"/>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其他服务</w:t>
            </w:r>
          </w:p>
        </w:tc>
        <w:tc>
          <w:tcPr>
            <w:tcW w:w="2835"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工程造价鉴定</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3" w:type="dxa"/>
            <w:vMerge w:val="continue"/>
            <w:vAlign w:val="center"/>
          </w:tcPr>
          <w:p>
            <w:pPr>
              <w:spacing w:line="360" w:lineRule="auto"/>
              <w:jc w:val="center"/>
              <w:rPr>
                <w:rFonts w:hint="eastAsia" w:ascii="仿宋" w:hAnsi="仿宋" w:eastAsia="仿宋" w:cs="仿宋"/>
                <w:sz w:val="32"/>
                <w:szCs w:val="32"/>
              </w:rPr>
            </w:pPr>
          </w:p>
        </w:tc>
        <w:tc>
          <w:tcPr>
            <w:tcW w:w="2835" w:type="dxa"/>
            <w:vAlign w:val="top"/>
          </w:tcPr>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w:t>
            </w:r>
          </w:p>
        </w:tc>
        <w:tc>
          <w:tcPr>
            <w:tcW w:w="2352" w:type="dxa"/>
            <w:vAlign w:val="top"/>
          </w:tcPr>
          <w:p>
            <w:pPr>
              <w:spacing w:line="360" w:lineRule="auto"/>
              <w:rPr>
                <w:rFonts w:hint="eastAsia" w:ascii="仿宋" w:hAnsi="仿宋" w:eastAsia="仿宋" w:cs="仿宋"/>
                <w:sz w:val="32"/>
                <w:szCs w:val="32"/>
              </w:rPr>
            </w:pPr>
          </w:p>
        </w:tc>
        <w:tc>
          <w:tcPr>
            <w:tcW w:w="1494" w:type="dxa"/>
            <w:vAlign w:val="top"/>
          </w:tcPr>
          <w:p>
            <w:pPr>
              <w:spacing w:line="360" w:lineRule="auto"/>
              <w:rPr>
                <w:rFonts w:hint="eastAsia" w:ascii="仿宋" w:hAnsi="仿宋" w:eastAsia="仿宋" w:cs="仿宋"/>
                <w:sz w:val="32"/>
                <w:szCs w:val="32"/>
              </w:rPr>
            </w:pPr>
          </w:p>
        </w:tc>
        <w:tc>
          <w:tcPr>
            <w:tcW w:w="2265" w:type="dxa"/>
            <w:vAlign w:val="top"/>
          </w:tcPr>
          <w:p>
            <w:pPr>
              <w:spacing w:line="360" w:lineRule="auto"/>
              <w:rPr>
                <w:rFonts w:hint="eastAsia" w:ascii="仿宋" w:hAnsi="仿宋" w:eastAsia="仿宋" w:cs="仿宋"/>
                <w:sz w:val="32"/>
                <w:szCs w:val="32"/>
              </w:rPr>
            </w:pPr>
          </w:p>
        </w:tc>
        <w:tc>
          <w:tcPr>
            <w:tcW w:w="2859" w:type="dxa"/>
            <w:vAlign w:val="top"/>
          </w:tcPr>
          <w:p>
            <w:pPr>
              <w:spacing w:line="360" w:lineRule="auto"/>
              <w:rPr>
                <w:rFonts w:hint="eastAsia" w:ascii="仿宋" w:hAnsi="仿宋" w:eastAsia="仿宋" w:cs="仿宋"/>
                <w:sz w:val="32"/>
                <w:szCs w:val="32"/>
              </w:rPr>
            </w:pPr>
          </w:p>
        </w:tc>
        <w:tc>
          <w:tcPr>
            <w:tcW w:w="992" w:type="dxa"/>
            <w:vAlign w:val="top"/>
          </w:tcPr>
          <w:p>
            <w:pPr>
              <w:spacing w:line="360" w:lineRule="auto"/>
              <w:jc w:val="center"/>
              <w:rPr>
                <w:rFonts w:hint="eastAsia" w:ascii="仿宋" w:hAnsi="仿宋" w:eastAsia="仿宋" w:cs="仿宋"/>
                <w:sz w:val="32"/>
                <w:szCs w:val="32"/>
              </w:rPr>
            </w:pPr>
          </w:p>
        </w:tc>
      </w:tr>
    </w:tbl>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sz w:val="32"/>
          <w:szCs w:val="32"/>
        </w:rPr>
      </w:pPr>
      <w:r>
        <w:rPr>
          <w:rFonts w:hint="eastAsia" w:ascii="仿宋" w:hAnsi="仿宋" w:eastAsia="仿宋" w:cs="仿宋"/>
          <w:b/>
          <w:sz w:val="32"/>
          <w:szCs w:val="32"/>
        </w:rPr>
        <w:t>注：</w:t>
      </w:r>
      <w:r>
        <w:rPr>
          <w:rFonts w:hint="eastAsia" w:ascii="仿宋" w:hAnsi="仿宋" w:eastAsia="仿宋" w:cs="仿宋"/>
          <w:sz w:val="32"/>
          <w:szCs w:val="32"/>
        </w:rPr>
        <w:t>1.附录A中服务范围及工作内容未涉及的可在“其他”项中列明。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2.实行全过程造价咨询的工程，服务范围及工作内容按上表，酬金及计取方式为：____________________。</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3.估算、概算服务的基本内容包括：①明确工程内容、范围、规模、定位等；②编制或审核工程（估）概算；③提出合理化建议参与部门组织的评审会议；④根据评审意见，完善（估）概算文件，出具报告。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可选额外增值服务内容包括：①计算并分析主要技术经济指标；②分析设计方案的优缺点，提出合理化建议；③多方案概算的编制和比选；④多阶段概算的编制（初步设计阶段、扩大初步设计阶段）；⑤概算超过估算后的调整；⑥限额设计目标分解；⑦新材料、新工艺、新技术性价比分析。委托人选择其中的哪几项内容及约定的增加酬金可以在“其他”中列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4.预算（含工程量清单及控制价）服务的基本内容包括：①现场踏勘，合理确定相关技术措施费；②对编制依据提出专业意见（分析招标文件的造价相关条款发表专业建议，提出设计图纸与造价 相关的错、漏、碰、缺）；③明确编制范围、标段及专业内容；④列出主要材料（设备)的参考品牌、规格及型号，并注明哪些是无价材料，协助建设单位确定价格；⑤缺项子目的依据补充；⑥确定各项费率；⑦造价核对（如有）；⑧按要求出具成果报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可选的额外增值服务包括：①造价偏差分析并提供分析报告（比对设计概算、分析偏差原因，根据偏差原因及委托人要求，调整或重新编制咨询成果）；②清标分析并提供分析报告（不同子目间不平衡报价分析、异常单价的组价分析）。委托人选择其中的哪几项内容及约定的增加酬金可以在“其他”中列明。</w:t>
      </w:r>
    </w:p>
    <w:p>
      <w:pPr>
        <w:numPr>
          <w:ilvl w:val="0"/>
          <w:numId w:val="4"/>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结算服务的基本内容包括：①资料完整性、有效性、合法性审核；②现场踏勘（合同承包范围内的内容是否完成、工程实体表观与竣工图纸的一致性、临时设施和建筑垃圾的清除情况、周边的场地被借用的恢复情况）；③量、价、费审核；④按合同要求计算奖罚金；⑤建设单位支付的水电费用结算；⑥甲供材料的费用（如有）；⑦总承包服务费审核；⑧总分包单位交叉界面费用审核；⑨合同相关其他内容的审核；⑩索赔金额审核；</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EQ \o\ac(</w:instrText>
      </w:r>
      <w:r>
        <w:rPr>
          <w:rFonts w:hint="eastAsia" w:ascii="仿宋" w:hAnsi="仿宋" w:eastAsia="仿宋" w:cs="仿宋"/>
          <w:position w:val="-6"/>
          <w:sz w:val="48"/>
          <w:szCs w:val="32"/>
        </w:rPr>
        <w:instrText xml:space="preserve">○</w:instrText>
      </w:r>
      <w:r>
        <w:rPr>
          <w:rFonts w:hint="eastAsia" w:ascii="仿宋" w:hAnsi="仿宋" w:eastAsia="仿宋" w:cs="仿宋"/>
          <w:position w:val="0"/>
          <w:sz w:val="32"/>
          <w:szCs w:val="32"/>
        </w:rPr>
        <w:instrText xml:space="preserve">,</w:instrText>
      </w:r>
      <w:r>
        <w:rPr>
          <w:rFonts w:hint="eastAsia" w:ascii="仿宋" w:hAnsi="仿宋" w:eastAsia="仿宋" w:cs="仿宋"/>
          <w:position w:val="0"/>
          <w:sz w:val="32"/>
          <w:szCs w:val="32"/>
        </w:rPr>
        <w:instrText xml:space="preserve">11)</w:instrText>
      </w:r>
      <w:r>
        <w:rPr>
          <w:rFonts w:hint="eastAsia" w:ascii="仿宋" w:hAnsi="仿宋" w:eastAsia="仿宋" w:cs="仿宋"/>
          <w:sz w:val="32"/>
          <w:szCs w:val="32"/>
        </w:rPr>
        <w:fldChar w:fldCharType="end"/>
      </w:r>
      <w:r>
        <w:rPr>
          <w:rFonts w:hint="eastAsia" w:ascii="仿宋" w:hAnsi="仿宋" w:eastAsia="仿宋" w:cs="仿宋"/>
          <w:sz w:val="32"/>
          <w:szCs w:val="32"/>
        </w:rPr>
        <w:t>按要求出具审核报告。</w:t>
      </w:r>
    </w:p>
    <w:p>
      <w:pPr>
        <w:spacing w:line="360" w:lineRule="auto"/>
        <w:ind w:firstLine="570" w:firstLineChars="0"/>
        <w:rPr>
          <w:rFonts w:hint="eastAsia" w:ascii="仿宋" w:hAnsi="仿宋" w:eastAsia="仿宋" w:cs="仿宋"/>
          <w:sz w:val="32"/>
          <w:szCs w:val="32"/>
        </w:rPr>
      </w:pPr>
      <w:r>
        <w:rPr>
          <w:rFonts w:hint="eastAsia" w:ascii="仿宋" w:hAnsi="仿宋" w:eastAsia="仿宋" w:cs="仿宋"/>
          <w:sz w:val="32"/>
          <w:szCs w:val="32"/>
        </w:rPr>
        <w:t>可选的额外增值服务包括：①</w:t>
      </w:r>
      <w:r>
        <w:rPr>
          <w:rFonts w:hint="eastAsia" w:ascii="仿宋" w:hAnsi="仿宋" w:eastAsia="仿宋" w:cs="仿宋"/>
          <w:b w:val="0"/>
          <w:bCs w:val="0"/>
          <w:sz w:val="32"/>
          <w:szCs w:val="32"/>
        </w:rPr>
        <w:t>计算并分析主要工程经济指标；②提出对工程造价管理的建议；</w:t>
      </w:r>
      <w:r>
        <w:rPr>
          <w:rFonts w:hint="eastAsia" w:ascii="仿宋" w:hAnsi="仿宋" w:eastAsia="仿宋" w:cs="仿宋"/>
          <w:sz w:val="32"/>
          <w:szCs w:val="32"/>
        </w:rPr>
        <w:t>③协助委托人完成结算相关的其他工作。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6.涉及估算、概算、预算调整工作内容的收费基数按照以下几种方式：①调增及调减金额的绝对值之和；②根据调整情况增加投入的造价执业人员工作量；③按照已完成的额外工作量的相应造价金额的70%。</w:t>
      </w:r>
    </w:p>
    <w:p>
      <w:pPr>
        <w:pStyle w:val="2"/>
        <w:spacing w:before="0" w:after="0"/>
        <w:jc w:val="center"/>
        <w:rPr>
          <w:rFonts w:hint="eastAsia" w:ascii="仿宋" w:hAnsi="仿宋" w:eastAsia="仿宋" w:cs="仿宋"/>
          <w:sz w:val="32"/>
          <w:szCs w:val="32"/>
        </w:rPr>
      </w:pPr>
      <w:bookmarkStart w:id="92" w:name="_Toc419045127"/>
      <w:bookmarkStart w:id="93" w:name="_Toc422322558"/>
    </w:p>
    <w:p>
      <w:pPr>
        <w:pStyle w:val="2"/>
        <w:spacing w:before="0" w:after="0"/>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附录B 咨询人提交成果文件一览表</w:t>
      </w:r>
      <w:bookmarkEnd w:id="92"/>
      <w:bookmarkEnd w:id="93"/>
    </w:p>
    <w:tbl>
      <w:tblPr>
        <w:tblStyle w:val="9"/>
        <w:tblW w:w="11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977"/>
        <w:gridCol w:w="2849"/>
        <w:gridCol w:w="1276"/>
        <w:gridCol w:w="709"/>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服务阶段</w:t>
            </w:r>
          </w:p>
        </w:tc>
        <w:tc>
          <w:tcPr>
            <w:tcW w:w="2977"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成果文件名称</w:t>
            </w:r>
          </w:p>
        </w:tc>
        <w:tc>
          <w:tcPr>
            <w:tcW w:w="2849"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成果文件组成</w:t>
            </w:r>
          </w:p>
        </w:tc>
        <w:tc>
          <w:tcPr>
            <w:tcW w:w="1276"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提交时间</w:t>
            </w:r>
          </w:p>
        </w:tc>
        <w:tc>
          <w:tcPr>
            <w:tcW w:w="709"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份数</w:t>
            </w:r>
          </w:p>
        </w:tc>
        <w:tc>
          <w:tcPr>
            <w:tcW w:w="2540"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restart"/>
            <w:vAlign w:val="center"/>
          </w:tcPr>
          <w:p>
            <w:pPr>
              <w:pStyle w:val="6"/>
              <w:widowControl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决策阶段</w:t>
            </w: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spacing w:line="360" w:lineRule="auto"/>
              <w:jc w:val="center"/>
              <w:rPr>
                <w:rFonts w:hint="eastAsia" w:ascii="仿宋" w:hAnsi="仿宋" w:eastAsia="仿宋" w:cs="仿宋"/>
                <w:bCs/>
                <w:sz w:val="32"/>
                <w:szCs w:val="32"/>
              </w:rPr>
            </w:pPr>
          </w:p>
        </w:tc>
        <w:tc>
          <w:tcPr>
            <w:tcW w:w="2977" w:type="dxa"/>
            <w:vAlign w:val="center"/>
          </w:tcPr>
          <w:p>
            <w:pPr>
              <w:spacing w:line="360" w:lineRule="auto"/>
              <w:ind w:firstLine="960" w:firstLineChars="300"/>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spacing w:line="360" w:lineRule="auto"/>
              <w:jc w:val="center"/>
              <w:rPr>
                <w:rFonts w:hint="eastAsia" w:ascii="仿宋" w:hAnsi="仿宋" w:eastAsia="仿宋" w:cs="仿宋"/>
                <w:bCs/>
                <w:sz w:val="32"/>
                <w:szCs w:val="32"/>
              </w:rPr>
            </w:pPr>
          </w:p>
        </w:tc>
        <w:tc>
          <w:tcPr>
            <w:tcW w:w="2977" w:type="dxa"/>
            <w:vAlign w:val="center"/>
          </w:tcPr>
          <w:p>
            <w:pPr>
              <w:spacing w:line="360" w:lineRule="auto"/>
              <w:ind w:firstLine="320" w:firstLineChars="100"/>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restart"/>
            <w:vAlign w:val="center"/>
          </w:tcPr>
          <w:p>
            <w:pPr>
              <w:pStyle w:val="6"/>
              <w:widowControl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设计阶段</w:t>
            </w:r>
          </w:p>
        </w:tc>
        <w:tc>
          <w:tcPr>
            <w:tcW w:w="2977" w:type="dxa"/>
            <w:vAlign w:val="center"/>
          </w:tcPr>
          <w:p>
            <w:pPr>
              <w:spacing w:line="360" w:lineRule="auto"/>
              <w:ind w:firstLine="640" w:firstLineChars="200"/>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pStyle w:val="6"/>
              <w:widowControl w:val="0"/>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exact"/>
          <w:jc w:val="center"/>
        </w:trPr>
        <w:tc>
          <w:tcPr>
            <w:tcW w:w="1497" w:type="dxa"/>
            <w:vMerge w:val="continue"/>
            <w:vAlign w:val="center"/>
          </w:tcPr>
          <w:p>
            <w:pPr>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restart"/>
            <w:vAlign w:val="center"/>
          </w:tcPr>
          <w:p>
            <w:pPr>
              <w:pStyle w:val="6"/>
              <w:widowControl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发承包阶段</w:t>
            </w: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pStyle w:val="6"/>
              <w:widowControl w:val="0"/>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restart"/>
            <w:vAlign w:val="center"/>
          </w:tcPr>
          <w:p>
            <w:pPr>
              <w:pStyle w:val="6"/>
              <w:widowControl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实施阶段</w:t>
            </w: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pStyle w:val="6"/>
              <w:widowControl w:val="0"/>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pStyle w:val="6"/>
              <w:widowControl w:val="0"/>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restart"/>
            <w:vAlign w:val="center"/>
          </w:tcPr>
          <w:p>
            <w:pPr>
              <w:pStyle w:val="6"/>
              <w:widowControl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竣工阶段</w:t>
            </w: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pStyle w:val="6"/>
              <w:widowControl w:val="0"/>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Merge w:val="continue"/>
            <w:vAlign w:val="center"/>
          </w:tcPr>
          <w:p>
            <w:pPr>
              <w:spacing w:line="360" w:lineRule="auto"/>
              <w:jc w:val="center"/>
              <w:rPr>
                <w:rFonts w:hint="eastAsia" w:ascii="仿宋" w:hAnsi="仿宋" w:eastAsia="仿宋" w:cs="仿宋"/>
                <w:bCs/>
                <w:sz w:val="32"/>
                <w:szCs w:val="32"/>
              </w:rPr>
            </w:pP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97" w:type="dxa"/>
            <w:vAlign w:val="center"/>
          </w:tcPr>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其他服务</w:t>
            </w:r>
          </w:p>
        </w:tc>
        <w:tc>
          <w:tcPr>
            <w:tcW w:w="2977" w:type="dxa"/>
            <w:vAlign w:val="center"/>
          </w:tcPr>
          <w:p>
            <w:pPr>
              <w:spacing w:line="360" w:lineRule="auto"/>
              <w:jc w:val="center"/>
              <w:rPr>
                <w:rFonts w:hint="eastAsia" w:ascii="仿宋" w:hAnsi="仿宋" w:eastAsia="仿宋" w:cs="仿宋"/>
                <w:bCs/>
                <w:sz w:val="32"/>
                <w:szCs w:val="32"/>
              </w:rPr>
            </w:pPr>
          </w:p>
        </w:tc>
        <w:tc>
          <w:tcPr>
            <w:tcW w:w="2849" w:type="dxa"/>
            <w:vAlign w:val="center"/>
          </w:tcPr>
          <w:p>
            <w:pPr>
              <w:spacing w:line="360" w:lineRule="auto"/>
              <w:jc w:val="center"/>
              <w:rPr>
                <w:rFonts w:hint="eastAsia" w:ascii="仿宋" w:hAnsi="仿宋" w:eastAsia="仿宋" w:cs="仿宋"/>
                <w:bCs/>
                <w:sz w:val="32"/>
                <w:szCs w:val="32"/>
              </w:rPr>
            </w:pPr>
          </w:p>
        </w:tc>
        <w:tc>
          <w:tcPr>
            <w:tcW w:w="1276" w:type="dxa"/>
            <w:vAlign w:val="center"/>
          </w:tcPr>
          <w:p>
            <w:pPr>
              <w:spacing w:line="360" w:lineRule="auto"/>
              <w:jc w:val="center"/>
              <w:rPr>
                <w:rFonts w:hint="eastAsia" w:ascii="仿宋" w:hAnsi="仿宋" w:eastAsia="仿宋" w:cs="仿宋"/>
                <w:bCs/>
                <w:sz w:val="32"/>
                <w:szCs w:val="32"/>
              </w:rPr>
            </w:pPr>
          </w:p>
        </w:tc>
        <w:tc>
          <w:tcPr>
            <w:tcW w:w="709" w:type="dxa"/>
            <w:vAlign w:val="center"/>
          </w:tcPr>
          <w:p>
            <w:pPr>
              <w:spacing w:line="360" w:lineRule="auto"/>
              <w:jc w:val="center"/>
              <w:rPr>
                <w:rFonts w:hint="eastAsia" w:ascii="仿宋" w:hAnsi="仿宋" w:eastAsia="仿宋" w:cs="仿宋"/>
                <w:bCs/>
                <w:sz w:val="32"/>
                <w:szCs w:val="32"/>
              </w:rPr>
            </w:pPr>
          </w:p>
        </w:tc>
        <w:tc>
          <w:tcPr>
            <w:tcW w:w="2540" w:type="dxa"/>
            <w:vAlign w:val="center"/>
          </w:tcPr>
          <w:p>
            <w:pPr>
              <w:spacing w:line="360" w:lineRule="auto"/>
              <w:jc w:val="center"/>
              <w:rPr>
                <w:rFonts w:hint="eastAsia" w:ascii="仿宋" w:hAnsi="仿宋" w:eastAsia="仿宋" w:cs="仿宋"/>
                <w:bCs/>
                <w:sz w:val="32"/>
                <w:szCs w:val="32"/>
              </w:rPr>
            </w:pPr>
          </w:p>
        </w:tc>
      </w:tr>
    </w:tbl>
    <w:p>
      <w:pPr>
        <w:spacing w:line="360" w:lineRule="auto"/>
        <w:rPr>
          <w:rFonts w:hint="eastAsia" w:ascii="仿宋" w:hAnsi="仿宋" w:eastAsia="仿宋" w:cs="仿宋"/>
          <w:b/>
          <w:sz w:val="32"/>
          <w:szCs w:val="32"/>
        </w:rPr>
        <w:sectPr>
          <w:pgSz w:w="16838" w:h="11906" w:orient="landscape"/>
          <w:pgMar w:top="1803" w:right="1440" w:bottom="1438" w:left="1440" w:header="851" w:footer="992" w:gutter="0"/>
          <w:cols w:space="720" w:num="1"/>
          <w:docGrid w:linePitch="312" w:charSpace="0"/>
        </w:sectPr>
      </w:pPr>
    </w:p>
    <w:p>
      <w:pPr>
        <w:pStyle w:val="2"/>
        <w:spacing w:before="0" w:after="0"/>
        <w:jc w:val="center"/>
        <w:rPr>
          <w:rFonts w:hint="eastAsia" w:ascii="仿宋" w:hAnsi="仿宋" w:eastAsia="仿宋" w:cs="仿宋"/>
          <w:sz w:val="32"/>
          <w:szCs w:val="32"/>
        </w:rPr>
      </w:pPr>
      <w:bookmarkStart w:id="94" w:name="_Toc422322559"/>
      <w:bookmarkStart w:id="95" w:name="_Toc419045128"/>
      <w:r>
        <w:rPr>
          <w:rFonts w:hint="eastAsia" w:ascii="仿宋" w:hAnsi="仿宋" w:eastAsia="仿宋" w:cs="仿宋"/>
          <w:sz w:val="32"/>
          <w:szCs w:val="32"/>
        </w:rPr>
        <w:t>附录C　委托人提供资料一览表</w:t>
      </w:r>
      <w:bookmarkEnd w:id="94"/>
      <w:bookmarkEnd w:id="95"/>
    </w:p>
    <w:tbl>
      <w:tblPr>
        <w:tblStyle w:val="9"/>
        <w:tblW w:w="79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名称</w:t>
            </w:r>
          </w:p>
        </w:tc>
        <w:tc>
          <w:tcPr>
            <w:tcW w:w="837"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份数</w:t>
            </w:r>
          </w:p>
        </w:tc>
        <w:tc>
          <w:tcPr>
            <w:tcW w:w="1338"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提供时间</w:t>
            </w:r>
          </w:p>
        </w:tc>
        <w:tc>
          <w:tcPr>
            <w:tcW w:w="2207"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6"/>
              <w:widowControl w:val="0"/>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spacing w:line="360" w:lineRule="auto"/>
              <w:jc w:val="center"/>
              <w:rPr>
                <w:rFonts w:hint="eastAsia" w:ascii="仿宋" w:hAnsi="仿宋" w:eastAsia="仿宋" w:cs="仿宋"/>
                <w:sz w:val="32"/>
                <w:szCs w:val="32"/>
              </w:rPr>
            </w:pPr>
          </w:p>
        </w:tc>
        <w:tc>
          <w:tcPr>
            <w:tcW w:w="837" w:type="dxa"/>
            <w:vAlign w:val="top"/>
          </w:tcPr>
          <w:p>
            <w:pPr>
              <w:spacing w:line="360" w:lineRule="auto"/>
              <w:jc w:val="center"/>
              <w:rPr>
                <w:rFonts w:hint="eastAsia" w:ascii="仿宋" w:hAnsi="仿宋" w:eastAsia="仿宋" w:cs="仿宋"/>
                <w:sz w:val="32"/>
                <w:szCs w:val="32"/>
              </w:rPr>
            </w:pPr>
          </w:p>
        </w:tc>
        <w:tc>
          <w:tcPr>
            <w:tcW w:w="1338" w:type="dxa"/>
            <w:vAlign w:val="top"/>
          </w:tcPr>
          <w:p>
            <w:pPr>
              <w:spacing w:line="360" w:lineRule="auto"/>
              <w:jc w:val="center"/>
              <w:rPr>
                <w:rFonts w:hint="eastAsia" w:ascii="仿宋" w:hAnsi="仿宋" w:eastAsia="仿宋" w:cs="仿宋"/>
                <w:sz w:val="32"/>
                <w:szCs w:val="32"/>
              </w:rPr>
            </w:pPr>
          </w:p>
        </w:tc>
        <w:tc>
          <w:tcPr>
            <w:tcW w:w="2207" w:type="dxa"/>
            <w:vAlign w:val="top"/>
          </w:tcPr>
          <w:p>
            <w:pPr>
              <w:spacing w:line="360" w:lineRule="auto"/>
              <w:jc w:val="center"/>
              <w:rPr>
                <w:rFonts w:hint="eastAsia" w:ascii="仿宋" w:hAnsi="仿宋" w:eastAsia="仿宋" w:cs="仿宋"/>
                <w:sz w:val="32"/>
                <w:szCs w:val="32"/>
              </w:rPr>
            </w:pPr>
          </w:p>
        </w:tc>
      </w:tr>
    </w:tbl>
    <w:p>
      <w:pPr>
        <w:pStyle w:val="2"/>
        <w:spacing w:before="0" w:after="0"/>
        <w:jc w:val="center"/>
        <w:rPr>
          <w:rFonts w:hint="eastAsia" w:ascii="仿宋" w:hAnsi="仿宋" w:eastAsia="仿宋" w:cs="仿宋"/>
          <w:sz w:val="32"/>
          <w:szCs w:val="32"/>
        </w:rPr>
      </w:pPr>
      <w:bookmarkStart w:id="96" w:name="_Toc419045129"/>
      <w:bookmarkStart w:id="97" w:name="_Toc422322560"/>
      <w:r>
        <w:rPr>
          <w:rFonts w:hint="eastAsia" w:ascii="仿宋" w:hAnsi="仿宋" w:eastAsia="仿宋" w:cs="仿宋"/>
          <w:sz w:val="32"/>
          <w:szCs w:val="32"/>
        </w:rPr>
        <w:t>附录D 委托人提供房屋及设备一览表</w:t>
      </w:r>
      <w:bookmarkEnd w:id="96"/>
      <w:bookmarkEnd w:id="97"/>
    </w:p>
    <w:tbl>
      <w:tblPr>
        <w:tblStyle w:val="9"/>
        <w:tblW w:w="780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8"/>
        <w:gridCol w:w="18"/>
        <w:gridCol w:w="851"/>
        <w:gridCol w:w="23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名称</w:t>
            </w:r>
          </w:p>
        </w:tc>
        <w:tc>
          <w:tcPr>
            <w:tcW w:w="887" w:type="dxa"/>
            <w:gridSpan w:val="3"/>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数量</w:t>
            </w:r>
          </w:p>
        </w:tc>
        <w:tc>
          <w:tcPr>
            <w:tcW w:w="2368"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面积、型号及规格</w:t>
            </w:r>
          </w:p>
        </w:tc>
        <w:tc>
          <w:tcPr>
            <w:tcW w:w="1837" w:type="dxa"/>
            <w:vAlign w:val="top"/>
          </w:tcPr>
          <w:p>
            <w:pPr>
              <w:pStyle w:val="6"/>
              <w:widowControl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top"/>
          </w:tcPr>
          <w:p>
            <w:pPr>
              <w:pStyle w:val="6"/>
              <w:widowControl w:val="0"/>
              <w:spacing w:line="360" w:lineRule="auto"/>
              <w:jc w:val="both"/>
              <w:rPr>
                <w:rFonts w:hint="eastAsia" w:ascii="仿宋" w:hAnsi="仿宋" w:eastAsia="仿宋" w:cs="仿宋"/>
                <w:sz w:val="32"/>
                <w:szCs w:val="32"/>
              </w:rPr>
            </w:pPr>
          </w:p>
        </w:tc>
        <w:tc>
          <w:tcPr>
            <w:tcW w:w="887" w:type="dxa"/>
            <w:gridSpan w:val="3"/>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top"/>
          </w:tcPr>
          <w:p>
            <w:pPr>
              <w:pStyle w:val="6"/>
              <w:widowControl w:val="0"/>
              <w:spacing w:line="360" w:lineRule="auto"/>
              <w:jc w:val="both"/>
              <w:rPr>
                <w:rFonts w:hint="eastAsia" w:ascii="仿宋" w:hAnsi="仿宋" w:eastAsia="仿宋" w:cs="仿宋"/>
                <w:sz w:val="32"/>
                <w:szCs w:val="32"/>
              </w:rPr>
            </w:pPr>
          </w:p>
        </w:tc>
        <w:tc>
          <w:tcPr>
            <w:tcW w:w="887" w:type="dxa"/>
            <w:gridSpan w:val="3"/>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top"/>
          </w:tcPr>
          <w:p>
            <w:pPr>
              <w:pStyle w:val="6"/>
              <w:widowControl w:val="0"/>
              <w:spacing w:line="360" w:lineRule="auto"/>
              <w:jc w:val="both"/>
              <w:rPr>
                <w:rFonts w:hint="eastAsia" w:ascii="仿宋" w:hAnsi="仿宋" w:eastAsia="仿宋" w:cs="仿宋"/>
                <w:sz w:val="32"/>
                <w:szCs w:val="32"/>
              </w:rPr>
            </w:pPr>
          </w:p>
        </w:tc>
        <w:tc>
          <w:tcPr>
            <w:tcW w:w="887" w:type="dxa"/>
            <w:gridSpan w:val="3"/>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top"/>
          </w:tcPr>
          <w:p>
            <w:pPr>
              <w:pStyle w:val="6"/>
              <w:widowControl w:val="0"/>
              <w:spacing w:line="360" w:lineRule="auto"/>
              <w:jc w:val="both"/>
              <w:rPr>
                <w:rFonts w:hint="eastAsia" w:ascii="仿宋" w:hAnsi="仿宋" w:eastAsia="仿宋" w:cs="仿宋"/>
                <w:sz w:val="32"/>
                <w:szCs w:val="32"/>
              </w:rPr>
            </w:pPr>
          </w:p>
        </w:tc>
        <w:tc>
          <w:tcPr>
            <w:tcW w:w="887" w:type="dxa"/>
            <w:gridSpan w:val="3"/>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6" w:type="dxa"/>
            <w:gridSpan w:val="2"/>
            <w:vAlign w:val="top"/>
          </w:tcPr>
          <w:p>
            <w:pPr>
              <w:pStyle w:val="6"/>
              <w:widowControl w:val="0"/>
              <w:spacing w:line="360" w:lineRule="auto"/>
              <w:jc w:val="both"/>
              <w:rPr>
                <w:rFonts w:hint="eastAsia" w:ascii="仿宋" w:hAnsi="仿宋" w:eastAsia="仿宋" w:cs="仿宋"/>
                <w:sz w:val="32"/>
                <w:szCs w:val="32"/>
              </w:rPr>
            </w:pPr>
          </w:p>
        </w:tc>
        <w:tc>
          <w:tcPr>
            <w:tcW w:w="869" w:type="dxa"/>
            <w:gridSpan w:val="2"/>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6" w:type="dxa"/>
            <w:gridSpan w:val="2"/>
            <w:vAlign w:val="top"/>
          </w:tcPr>
          <w:p>
            <w:pPr>
              <w:pStyle w:val="6"/>
              <w:widowControl w:val="0"/>
              <w:spacing w:line="360" w:lineRule="auto"/>
              <w:jc w:val="both"/>
              <w:rPr>
                <w:rFonts w:hint="eastAsia" w:ascii="仿宋" w:hAnsi="仿宋" w:eastAsia="仿宋" w:cs="仿宋"/>
                <w:sz w:val="32"/>
                <w:szCs w:val="32"/>
              </w:rPr>
            </w:pPr>
          </w:p>
        </w:tc>
        <w:tc>
          <w:tcPr>
            <w:tcW w:w="869" w:type="dxa"/>
            <w:gridSpan w:val="2"/>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6" w:type="dxa"/>
            <w:gridSpan w:val="2"/>
            <w:vAlign w:val="top"/>
          </w:tcPr>
          <w:p>
            <w:pPr>
              <w:pStyle w:val="6"/>
              <w:widowControl w:val="0"/>
              <w:spacing w:line="360" w:lineRule="auto"/>
              <w:jc w:val="both"/>
              <w:rPr>
                <w:rFonts w:hint="eastAsia" w:ascii="仿宋" w:hAnsi="仿宋" w:eastAsia="仿宋" w:cs="仿宋"/>
                <w:sz w:val="32"/>
                <w:szCs w:val="32"/>
              </w:rPr>
            </w:pPr>
          </w:p>
        </w:tc>
        <w:tc>
          <w:tcPr>
            <w:tcW w:w="869" w:type="dxa"/>
            <w:gridSpan w:val="2"/>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6" w:type="dxa"/>
            <w:gridSpan w:val="2"/>
            <w:vAlign w:val="top"/>
          </w:tcPr>
          <w:p>
            <w:pPr>
              <w:pStyle w:val="6"/>
              <w:widowControl w:val="0"/>
              <w:spacing w:line="360" w:lineRule="auto"/>
              <w:jc w:val="both"/>
              <w:rPr>
                <w:rFonts w:hint="eastAsia" w:ascii="仿宋" w:hAnsi="仿宋" w:eastAsia="仿宋" w:cs="仿宋"/>
                <w:sz w:val="32"/>
                <w:szCs w:val="32"/>
              </w:rPr>
            </w:pPr>
          </w:p>
        </w:tc>
        <w:tc>
          <w:tcPr>
            <w:tcW w:w="869" w:type="dxa"/>
            <w:gridSpan w:val="2"/>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2368"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c>
          <w:tcPr>
            <w:tcW w:w="1837" w:type="dxa"/>
            <w:vAlign w:val="top"/>
          </w:tcPr>
          <w:p>
            <w:pPr>
              <w:spacing w:line="360" w:lineRule="auto"/>
              <w:rPr>
                <w:rFonts w:hint="eastAsia" w:ascii="仿宋" w:hAnsi="仿宋" w:eastAsia="仿宋" w:cs="仿宋"/>
                <w:sz w:val="32"/>
                <w:szCs w:val="32"/>
              </w:rPr>
            </w:pPr>
            <w:r>
              <w:rPr>
                <w:rFonts w:hint="eastAsia" w:ascii="仿宋" w:hAnsi="仿宋" w:eastAsia="仿宋" w:cs="仿宋"/>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gridSpan w:val="3"/>
            <w:vAlign w:val="top"/>
          </w:tcPr>
          <w:p>
            <w:pPr>
              <w:spacing w:line="360" w:lineRule="auto"/>
              <w:rPr>
                <w:rFonts w:hint="eastAsia" w:ascii="仿宋" w:hAnsi="仿宋" w:eastAsia="仿宋" w:cs="仿宋"/>
                <w:sz w:val="32"/>
                <w:szCs w:val="32"/>
              </w:rPr>
            </w:pPr>
          </w:p>
        </w:tc>
        <w:tc>
          <w:tcPr>
            <w:tcW w:w="851" w:type="dxa"/>
            <w:vAlign w:val="top"/>
          </w:tcPr>
          <w:p>
            <w:pPr>
              <w:spacing w:line="360" w:lineRule="auto"/>
              <w:rPr>
                <w:rFonts w:hint="eastAsia" w:ascii="仿宋" w:hAnsi="仿宋" w:eastAsia="仿宋" w:cs="仿宋"/>
                <w:sz w:val="32"/>
                <w:szCs w:val="32"/>
              </w:rPr>
            </w:pPr>
          </w:p>
        </w:tc>
        <w:tc>
          <w:tcPr>
            <w:tcW w:w="2368" w:type="dxa"/>
            <w:vAlign w:val="top"/>
          </w:tcPr>
          <w:p>
            <w:pPr>
              <w:spacing w:line="360" w:lineRule="auto"/>
              <w:rPr>
                <w:rFonts w:hint="eastAsia" w:ascii="仿宋" w:hAnsi="仿宋" w:eastAsia="仿宋" w:cs="仿宋"/>
                <w:sz w:val="32"/>
                <w:szCs w:val="32"/>
              </w:rPr>
            </w:pPr>
          </w:p>
        </w:tc>
        <w:tc>
          <w:tcPr>
            <w:tcW w:w="1837" w:type="dxa"/>
            <w:vAlign w:val="top"/>
          </w:tcPr>
          <w:p>
            <w:pPr>
              <w:spacing w:line="360" w:lineRule="auto"/>
              <w:rPr>
                <w:rFonts w:hint="eastAsia" w:ascii="仿宋" w:hAnsi="仿宋" w:eastAsia="仿宋" w:cs="仿宋"/>
                <w:sz w:val="32"/>
                <w:szCs w:val="32"/>
              </w:rPr>
            </w:pPr>
          </w:p>
        </w:tc>
      </w:tr>
    </w:tbl>
    <w:p>
      <w:pPr>
        <w:jc w:val="both"/>
        <w:rPr>
          <w:rFonts w:hint="eastAsia"/>
          <w:sz w:val="28"/>
          <w:szCs w:val="28"/>
          <w:lang w:val="en-US" w:eastAsia="zh-CN"/>
        </w:rPr>
      </w:pPr>
      <w:bookmarkStart w:id="98" w:name="_GoBack"/>
      <w:bookmarkEnd w:id="9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2085" cy="1479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w="9525">
                        <a:noFill/>
                      </a:ln>
                    </wps:spPr>
                    <wps:txbx>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13.55pt;mso-position-horizontal:center;mso-position-horizontal-relative:margin;mso-wrap-style:none;z-index:251658240;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NURo9EAAAADAQAADwAAAAAAAAABACAAAAAiAAAAZHJzL2Rvd25yZXYueG1sUEsBAhQAFAAAAAgA&#10;h07iQDps+PG6AQAAUgMAAA4AAAAAAAAAAQAgAAAAIAEAAGRycy9lMm9Eb2MueG1sUEsFBgAAAAAG&#10;AAYAWQEAAEwFAAAAAA==&#10;">
              <v:fill on="f" focussize="0,0"/>
              <v:stroke on="f"/>
              <v:imagedata o:title=""/>
              <o:lock v:ext="edit" aspectratio="f"/>
              <v:textbox inset="0mm,0mm,0mm,0mm" style="mso-fit-shape-to-text:t;">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4EC"/>
    <w:multiLevelType w:val="singleLevel"/>
    <w:tmpl w:val="0AFF74EC"/>
    <w:lvl w:ilvl="0" w:tentative="0">
      <w:start w:val="5"/>
      <w:numFmt w:val="decimal"/>
      <w:lvlText w:val="%1."/>
      <w:lvlJc w:val="left"/>
      <w:pPr>
        <w:tabs>
          <w:tab w:val="left" w:pos="312"/>
        </w:tabs>
      </w:pPr>
    </w:lvl>
  </w:abstractNum>
  <w:abstractNum w:abstractNumId="1">
    <w:nsid w:val="57CE2A2B"/>
    <w:multiLevelType w:val="singleLevel"/>
    <w:tmpl w:val="57CE2A2B"/>
    <w:lvl w:ilvl="0" w:tentative="0">
      <w:start w:val="1"/>
      <w:numFmt w:val="chineseCounting"/>
      <w:suff w:val="nothing"/>
      <w:lvlText w:val="%1、"/>
      <w:lvlJc w:val="left"/>
    </w:lvl>
  </w:abstractNum>
  <w:abstractNum w:abstractNumId="2">
    <w:nsid w:val="5A13D0B4"/>
    <w:multiLevelType w:val="singleLevel"/>
    <w:tmpl w:val="5A13D0B4"/>
    <w:lvl w:ilvl="0" w:tentative="0">
      <w:start w:val="2"/>
      <w:numFmt w:val="decimal"/>
      <w:suff w:val="nothing"/>
      <w:lvlText w:val="%1、"/>
      <w:lvlJc w:val="left"/>
    </w:lvl>
  </w:abstractNum>
  <w:abstractNum w:abstractNumId="3">
    <w:nsid w:val="5A152D4A"/>
    <w:multiLevelType w:val="singleLevel"/>
    <w:tmpl w:val="5A152D4A"/>
    <w:lvl w:ilvl="0" w:tentative="0">
      <w:start w:val="9"/>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74CE7"/>
    <w:rsid w:val="00EB2CF0"/>
    <w:rsid w:val="0ACE0A5B"/>
    <w:rsid w:val="13242D4D"/>
    <w:rsid w:val="14EE0E97"/>
    <w:rsid w:val="1BC20FED"/>
    <w:rsid w:val="27E61B19"/>
    <w:rsid w:val="37474CE7"/>
    <w:rsid w:val="37BA6243"/>
    <w:rsid w:val="3A43300F"/>
    <w:rsid w:val="4EA7765D"/>
    <w:rsid w:val="52970E6F"/>
    <w:rsid w:val="5D8D5983"/>
    <w:rsid w:val="63C524F1"/>
    <w:rsid w:val="6C4D34EF"/>
    <w:rsid w:val="6D535020"/>
    <w:rsid w:val="6E636022"/>
    <w:rsid w:val="71A71B0A"/>
    <w:rsid w:val="75CB43B1"/>
    <w:rsid w:val="7DB7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qFormat/>
    <w:uiPriority w:val="0"/>
    <w:pPr>
      <w:spacing w:before="240" w:after="60" w:line="312" w:lineRule="auto"/>
      <w:jc w:val="center"/>
      <w:outlineLvl w:val="1"/>
    </w:pPr>
    <w:rPr>
      <w:rFonts w:ascii="Calibri Light" w:hAnsi="Calibri Light"/>
      <w:b/>
      <w:bCs/>
      <w:kern w:val="28"/>
      <w:sz w:val="32"/>
      <w:szCs w:val="32"/>
    </w:rPr>
  </w:style>
  <w:style w:type="paragraph" w:styleId="6">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7">
    <w:name w:val="Title"/>
    <w:basedOn w:val="1"/>
    <w:next w:val="1"/>
    <w:link w:val="14"/>
    <w:qFormat/>
    <w:uiPriority w:val="0"/>
    <w:pPr>
      <w:adjustRightInd w:val="0"/>
      <w:spacing w:before="240" w:after="60" w:line="360" w:lineRule="atLeast"/>
      <w:jc w:val="center"/>
      <w:textAlignment w:val="baseline"/>
      <w:outlineLvl w:val="0"/>
    </w:pPr>
    <w:rPr>
      <w:rFonts w:ascii="Arial" w:hAnsi="Arial"/>
      <w:b/>
      <w:bCs/>
      <w:kern w:val="0"/>
      <w:sz w:val="32"/>
      <w:szCs w:val="32"/>
    </w:rPr>
  </w:style>
  <w:style w:type="paragraph" w:customStyle="1" w:styleId="10">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1">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12">
    <w:name w:val="p0"/>
    <w:basedOn w:val="1"/>
    <w:qFormat/>
    <w:uiPriority w:val="0"/>
    <w:pPr>
      <w:jc w:val="both"/>
    </w:pPr>
    <w:rPr>
      <w:rFonts w:ascii="Times New Roman" w:hAnsi="Times New Roman" w:cs="Times New Roman"/>
      <w:sz w:val="21"/>
      <w:szCs w:val="21"/>
    </w:rPr>
  </w:style>
  <w:style w:type="character" w:customStyle="1" w:styleId="13">
    <w:name w:val="15"/>
    <w:qFormat/>
    <w:uiPriority w:val="0"/>
    <w:rPr>
      <w:rFonts w:hint="default" w:ascii="Times New Roman" w:hAnsi="Times New Roman" w:cs="Times New Roman"/>
      <w:color w:val="464445"/>
      <w:u w:val="none"/>
    </w:rPr>
  </w:style>
  <w:style w:type="character" w:customStyle="1" w:styleId="14">
    <w:name w:val="标题 Char"/>
    <w:link w:val="7"/>
    <w:qFormat/>
    <w:uiPriority w:val="0"/>
    <w:rPr>
      <w:rFonts w:ascii="Arial" w:hAnsi="Arial"/>
      <w:b/>
      <w:bCs/>
      <w:kern w:val="0"/>
      <w:sz w:val="32"/>
      <w:szCs w:val="32"/>
    </w:rPr>
  </w:style>
  <w:style w:type="character" w:customStyle="1" w:styleId="15">
    <w:name w:val="副标题 Char"/>
    <w:link w:val="5"/>
    <w:qFormat/>
    <w:uiPriority w:val="11"/>
    <w:rPr>
      <w:rFonts w:ascii="Calibri Light" w:hAnsi="Calibri Light"/>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2018-04-24T06:00:00Z</dcterms:created>
  <dc:creator>Lenovo</dc:creator>
  <cp:lastModifiedBy>1</cp:lastModifiedBy>
  <dcterms:modified xsi:type="dcterms:W3CDTF">2018-05-09T01:40:41Z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