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line="360" w:lineRule="auto"/>
        <w:rPr>
          <w:rFonts w:ascii="黑体" w:hAnsi="黑体" w:eastAsia="黑体" w:hint="eastAsia"/>
          <w:sz w:val="32"/>
          <w:szCs w:val="32"/>
        </w:rPr>
      </w:pPr>
      <w:r>
        <w:rPr>
          <w:rFonts w:ascii="黑体" w:hAnsi="黑体" w:eastAsia="黑体" w:hint="eastAsia"/>
          <w:sz w:val="32"/>
          <w:szCs w:val="32"/>
        </w:rPr>
        <w:t>附件</w:t>
      </w:r>
    </w:p>
    <w:p>
      <w:pPr>
        <w:spacing w:before="312" w:line="360" w:lineRule="auto"/>
        <w:jc w:val="center"/>
        <w:rPr>
          <w:rFonts w:ascii="方正小标宋_GBK" w:hAnsi="方正小标宋_GBK" w:eastAsia="方正小标宋_GBK" w:hint="eastAsia"/>
          <w:sz w:val="44"/>
          <w:szCs w:val="44"/>
        </w:rPr>
      </w:pPr>
      <w:r>
        <w:rPr>
          <w:rFonts w:ascii="方正小标宋_GBK" w:hAnsi="方正小标宋_GBK" w:eastAsia="方正小标宋_GBK" w:hint="eastAsia"/>
          <w:sz w:val="44"/>
          <w:szCs w:val="44"/>
        </w:rPr>
        <w:t>浙江省工程总承包计价规则（试行）</w:t>
      </w:r>
    </w:p>
    <w:p>
      <w:pPr>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r>
    </w:p>
    <w:p>
      <w:pPr>
        <w:spacing w:line="660" w:lineRule="exact"/>
        <w:rPr>
          <w:rFonts w:ascii="仿宋_GB2312" w:hAnsi="仿宋_GB2312" w:eastAsia="仿宋_GB2312" w:hint="eastAsia"/>
          <w:sz w:val="32"/>
          <w:szCs w:val="32"/>
        </w:rPr>
      </w:pPr>
      <w:r>
        <w:rPr>
          <w:rFonts w:ascii="仿宋_GB2312" w:hAnsi="仿宋_GB2312" w:eastAsia="仿宋_GB2312" w:hint="eastAsia"/>
          <w:sz w:val="32"/>
          <w:szCs w:val="32"/>
        </w:rPr>
        <w:t xml:space="preserve">    为规范我省工程总承包计价的行为，指导工程总承包计价活动，根据《住房城乡建设部关于进一步推进工程总承包发展的若干意见》（建市〔2016〕93号）要求，结合本省工程总承包试点实践，制定《浙江省工程总承包计价规则（试行）》（以下简称《规则》）。</w:t>
      </w:r>
    </w:p>
    <w:p>
      <w:pPr>
        <w:ind w:firstLine="480"/>
        <w:spacing w:line="660" w:lineRule="exact"/>
        <w:rPr>
          <w:rFonts w:ascii="仿宋_GB2312" w:hAnsi="仿宋_GB2312" w:eastAsia="仿宋_GB2312" w:hint="eastAsia"/>
          <w:sz w:val="32"/>
          <w:szCs w:val="32"/>
        </w:rPr>
      </w:pPr>
      <w:r>
        <w:rPr>
          <w:rFonts w:ascii="仿宋_GB2312" w:hAnsi="仿宋_GB2312" w:eastAsia="仿宋_GB2312" w:hint="eastAsia"/>
          <w:sz w:val="32"/>
          <w:szCs w:val="32"/>
        </w:rPr>
        <w:t>《规则》所称的工程总承包计价是指实行勘察、设计、采购、施工全过程或若干阶段的工程总承包项目招标控制价（估算、概算）及招标清单的编审、工程总承包项目投标价的编制、工程总承包合同价款的确定与调整及工程总承包项目结算价的编审等活动。</w:t>
      </w:r>
    </w:p>
    <w:p>
      <w:pPr>
        <w:ind w:firstLine="480"/>
        <w:spacing w:line="660" w:lineRule="exact"/>
        <w:rPr>
          <w:rFonts w:ascii="仿宋_GB2312" w:hAnsi="仿宋_GB2312" w:eastAsia="仿宋_GB2312" w:hint="eastAsia"/>
          <w:sz w:val="32"/>
          <w:szCs w:val="32"/>
        </w:rPr>
      </w:pPr>
      <w:r>
        <w:rPr>
          <w:rFonts w:ascii="仿宋_GB2312" w:hAnsi="仿宋_GB2312" w:eastAsia="仿宋_GB2312" w:hint="eastAsia"/>
          <w:sz w:val="32"/>
          <w:szCs w:val="32"/>
        </w:rPr>
        <w:t>《规则》由工程总承包费用项目组成、工程总承包费用项目计算、合同价款与工程结算、《</w:t>
      </w:r>
      <w:r>
        <w:rPr>
          <w:rFonts w:ascii="仿宋_GB2312" w:hAnsi="仿宋_GB2312" w:eastAsia="仿宋_GB2312" w:cs="宋体" w:hint="eastAsia"/>
          <w:sz w:val="32"/>
          <w:szCs w:val="32"/>
        </w:rPr>
        <w:t>工程总承包项目清单及计价参考表</w:t>
      </w:r>
      <w:r>
        <w:rPr>
          <w:rFonts w:ascii="仿宋_GB2312" w:hAnsi="仿宋_GB2312" w:eastAsia="仿宋_GB2312" w:hint="eastAsia"/>
          <w:sz w:val="32"/>
          <w:szCs w:val="32"/>
        </w:rPr>
        <w:t>》</w:t>
      </w:r>
      <w:r>
        <w:rPr>
          <w:rFonts w:ascii="仿宋_GB2312" w:hAnsi="仿宋_GB2312" w:eastAsia="仿宋_GB2312" w:cs="宋体" w:hint="eastAsia"/>
          <w:sz w:val="32"/>
          <w:szCs w:val="32"/>
        </w:rPr>
        <w:t>（</w:t>
      </w:r>
      <w:r>
        <w:rPr>
          <w:rFonts w:ascii="仿宋_GB2312" w:hAnsi="仿宋_GB2312" w:eastAsia="仿宋_GB2312" w:hint="eastAsia"/>
          <w:sz w:val="32"/>
          <w:szCs w:val="32"/>
        </w:rPr>
        <w:t>附件</w:t>
      </w:r>
      <w:r>
        <w:rPr>
          <w:rFonts w:ascii="仿宋_GB2312" w:hAnsi="仿宋_GB2312" w:eastAsia="仿宋_GB2312" w:cs="宋体" w:hint="eastAsia"/>
          <w:sz w:val="32"/>
          <w:szCs w:val="32"/>
        </w:rPr>
        <w:t>）四部分组成</w:t>
      </w:r>
      <w:r>
        <w:rPr>
          <w:rFonts w:ascii="仿宋_GB2312" w:hAnsi="仿宋_GB2312" w:eastAsia="仿宋_GB2312" w:hint="eastAsia"/>
          <w:sz w:val="32"/>
          <w:szCs w:val="32"/>
        </w:rPr>
        <w:t>。本《规则》适用于本省行政区域范围内采用工程总承包的房屋建筑工程的计价活动，市政基础设施工程参照执行。</w:t>
      </w:r>
    </w:p>
    <w:p>
      <w:pPr>
        <w:ind w:firstLine="640"/>
        <w:spacing w:line="360" w:lineRule="auto"/>
        <w:rPr>
          <w:rFonts w:ascii="仿宋_GB2312" w:hAnsi="仿宋_GB2312" w:eastAsia="仿宋_GB2312" w:hint="eastAsia"/>
          <w:sz w:val="32"/>
          <w:szCs w:val="32"/>
        </w:rPr>
      </w:pPr>
      <w:r>
        <w:rPr>
          <w:rFonts w:ascii="黑体" w:hAnsi="黑体" w:eastAsia="黑体" w:cs="宋体" w:hint="eastAsia"/>
          <w:sz w:val="32"/>
          <w:szCs w:val="32"/>
        </w:rPr>
        <w:t>一、工程总承包费用项目组成</w:t>
      </w:r>
      <w:r>
        <w:rPr>
          <w:rFonts w:ascii="仿宋_GB2312" w:hAnsi="仿宋_GB2312" w:eastAsia="仿宋_GB2312" w:hint="eastAsia"/>
          <w:sz w:val="32"/>
          <w:szCs w:val="32"/>
        </w:rPr>
      </w:r>
    </w:p>
    <w:p>
      <w:pPr>
        <w:ind w:firstLine="640"/>
        <w:spacing w:line="360" w:lineRule="auto"/>
        <w:rPr>
          <w:rFonts w:ascii="楷体_GB2312" w:hAnsi="楷体_GB2312" w:eastAsia="楷体_GB2312" w:cs="宋体" w:hint="eastAsia"/>
          <w:b/>
          <w:sz w:val="32"/>
          <w:szCs w:val="32"/>
        </w:rPr>
      </w:pPr>
      <w:r>
        <w:rPr>
          <w:rFonts w:ascii="仿宋_GB2312" w:hAnsi="仿宋_GB2312" w:eastAsia="仿宋_GB2312" w:hint="eastAsia"/>
          <w:sz w:val="32"/>
          <w:szCs w:val="32"/>
        </w:rPr>
        <w:t>工程总承包根据不同阶段及费用性质，其费用项目组成如下：</w:t>
      </w:r>
      <w:r>
        <w:rPr>
          <w:rFonts w:ascii="楷体_GB2312" w:hAnsi="楷体_GB2312" w:eastAsia="楷体_GB2312" w:cs="宋体" w:hint="eastAsia"/>
          <w:b/>
          <w:sz w:val="32"/>
          <w:szCs w:val="32"/>
        </w:rPr>
      </w:r>
    </w:p>
    <w:p>
      <w:pPr>
        <w:ind w:firstLine="643"/>
        <w:spacing w:line="360" w:lineRule="auto"/>
        <w:rPr>
          <w:rFonts w:ascii="仿宋_GB2312" w:hAnsi="仿宋_GB2312" w:eastAsia="仿宋_GB2312" w:hint="eastAsia"/>
          <w:sz w:val="32"/>
          <w:szCs w:val="32"/>
        </w:rPr>
      </w:pPr>
      <w:r>
        <w:rPr>
          <w:rFonts w:ascii="楷体_GB2312" w:hAnsi="楷体_GB2312" w:eastAsia="楷体_GB2312" w:cs="宋体" w:hint="eastAsia"/>
          <w:b/>
          <w:sz w:val="32"/>
          <w:szCs w:val="32"/>
        </w:rPr>
        <w:t>（一）勘察设计费</w:t>
      </w:r>
      <w:r>
        <w:rPr>
          <w:rFonts w:ascii="仿宋_GB2312" w:hAnsi="仿宋_GB2312" w:eastAsia="仿宋_GB2312" w:hint="eastAsia"/>
          <w:sz w:val="32"/>
          <w:szCs w:val="32"/>
        </w:rPr>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勘察设计费包括工程勘察费和工程设计费</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1.工程勘察费</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工程勘察费是指工程总承包企业根据建设单位要求，自行或委托勘察人收集已有资料、现场踏勘、制订勘察纲要，进行测绘、勘探、取样、试验、测试、检测、监测等勘察作业，以及编制工程勘察文件和岩土工程设计文件等服务的费用。</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2.工程设计费</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工程设计费是指工程总承包企业根据建设单位要求，自行或委托设计人提供编制建设项目初步设计文件、施工图设计文件、非标准设备设计文件、施工图预算文件、竣工图文件等服务的费用。</w:t>
      </w:r>
    </w:p>
    <w:p>
      <w:pPr>
        <w:ind w:firstLine="640"/>
        <w:spacing w:line="360" w:lineRule="auto"/>
        <w:rPr>
          <w:rFonts w:ascii="楷体_GB2312" w:hAnsi="楷体_GB2312" w:eastAsia="楷体_GB2312" w:cs="宋体" w:hint="eastAsia"/>
          <w:b/>
          <w:sz w:val="32"/>
          <w:szCs w:val="32"/>
        </w:rPr>
      </w:pPr>
      <w:r>
        <w:rPr>
          <w:rFonts w:ascii="仿宋_GB2312" w:hAnsi="仿宋_GB2312" w:eastAsia="仿宋_GB2312" w:hint="eastAsia"/>
          <w:sz w:val="32"/>
          <w:szCs w:val="32"/>
        </w:rPr>
        <w:t>工程设计费根据不同的设计阶段及工程特点又可分为初步设计费、施工图设计费、技术设计费和其他设计费等。</w:t>
      </w:r>
      <w:r>
        <w:rPr>
          <w:rFonts w:ascii="楷体_GB2312" w:hAnsi="楷体_GB2312" w:eastAsia="楷体_GB2312" w:cs="宋体" w:hint="eastAsia"/>
          <w:b/>
          <w:sz w:val="32"/>
          <w:szCs w:val="32"/>
        </w:rPr>
      </w:r>
    </w:p>
    <w:p>
      <w:pPr>
        <w:ind w:firstLine="643"/>
        <w:spacing w:line="360" w:lineRule="auto"/>
        <w:rPr>
          <w:rFonts w:ascii="仿宋_GB2312" w:hAnsi="仿宋_GB2312" w:eastAsia="仿宋_GB2312" w:hint="eastAsia"/>
          <w:sz w:val="32"/>
          <w:szCs w:val="32"/>
        </w:rPr>
      </w:pPr>
      <w:r>
        <w:rPr>
          <w:rFonts w:ascii="楷体_GB2312" w:hAnsi="楷体_GB2312" w:eastAsia="楷体_GB2312" w:cs="宋体" w:hint="eastAsia"/>
          <w:b/>
          <w:sz w:val="32"/>
          <w:szCs w:val="32"/>
        </w:rPr>
        <w:t>（二）设备购置费</w:t>
      </w:r>
      <w:r>
        <w:rPr>
          <w:rFonts w:ascii="仿宋_GB2312" w:hAnsi="仿宋_GB2312" w:eastAsia="仿宋_GB2312" w:hint="eastAsia"/>
          <w:sz w:val="32"/>
          <w:szCs w:val="32"/>
        </w:rPr>
      </w:r>
    </w:p>
    <w:p>
      <w:pPr>
        <w:ind w:firstLine="640"/>
        <w:spacing w:line="360" w:lineRule="auto"/>
        <w:rPr>
          <w:rFonts w:ascii="楷体_GB2312" w:hAnsi="楷体_GB2312" w:eastAsia="楷体_GB2312" w:cs="宋体" w:hint="eastAsia"/>
          <w:b/>
          <w:sz w:val="32"/>
          <w:szCs w:val="32"/>
        </w:rPr>
      </w:pPr>
      <w:r>
        <w:rPr>
          <w:rFonts w:ascii="仿宋_GB2312" w:hAnsi="仿宋_GB2312" w:eastAsia="仿宋_GB2312" w:hint="eastAsia"/>
          <w:sz w:val="32"/>
          <w:szCs w:val="32"/>
        </w:rPr>
        <w:t>设备购置费是指为建设项目购置或者自制达到</w:t>
      </w:r>
      <w:hyperlink r:id="rId8" w:history="1">
        <w:r>
          <w:rPr>
            <w:rFonts w:ascii="仿宋_GB2312" w:hAnsi="仿宋_GB2312" w:eastAsia="仿宋_GB2312" w:hint="eastAsia"/>
            <w:sz w:val="32"/>
            <w:szCs w:val="32"/>
          </w:rPr>
          <w:t>固定资产标准</w:t>
        </w:r>
      </w:hyperlink>
      <w:r>
        <w:rPr>
          <w:rFonts w:ascii="仿宋_GB2312" w:hAnsi="仿宋_GB2312" w:eastAsia="仿宋_GB2312" w:hint="eastAsia"/>
          <w:sz w:val="32"/>
          <w:szCs w:val="32"/>
        </w:rPr>
        <w:t>的各种国产或者进口设备、工具、器具的购置费用。设备购置费包括设备及备品备件的费用（不包括施工设备）。</w:t>
      </w:r>
      <w:r>
        <w:rPr>
          <w:rFonts w:ascii="楷体_GB2312" w:hAnsi="楷体_GB2312" w:eastAsia="楷体_GB2312" w:cs="宋体" w:hint="eastAsia"/>
          <w:b/>
          <w:sz w:val="32"/>
          <w:szCs w:val="32"/>
        </w:rPr>
      </w:r>
    </w:p>
    <w:p>
      <w:pPr>
        <w:ind w:firstLine="643"/>
        <w:spacing w:line="360" w:lineRule="auto"/>
        <w:rPr>
          <w:rFonts w:ascii="仿宋_GB2312" w:hAnsi="仿宋_GB2312" w:eastAsia="仿宋_GB2312" w:hint="eastAsia"/>
          <w:sz w:val="32"/>
          <w:szCs w:val="32"/>
        </w:rPr>
      </w:pPr>
      <w:r>
        <w:rPr>
          <w:rFonts w:ascii="楷体_GB2312" w:hAnsi="楷体_GB2312" w:eastAsia="楷体_GB2312" w:cs="宋体" w:hint="eastAsia"/>
          <w:b/>
          <w:sz w:val="32"/>
          <w:szCs w:val="32"/>
        </w:rPr>
        <w:t>（三）建筑安装工程费</w:t>
      </w:r>
      <w:r>
        <w:rPr>
          <w:rFonts w:ascii="仿宋_GB2312" w:hAnsi="仿宋_GB2312" w:eastAsia="仿宋_GB2312" w:hint="eastAsia"/>
          <w:sz w:val="32"/>
          <w:szCs w:val="32"/>
        </w:rPr>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建筑安装工程费项目根据《浙江省建设工程其他费用定额》划分为主要工程项目、辅助和服务性工程项目、室外工程项目及场外工程项目。每一不同工程项目可根据工程计价需要分为建筑工程费和安装工程费。</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1.主要工程项目</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主要工程项目是指主要使用功能部分的项目，如大楼或小区住宅的建筑和结构及室内水、电等项目。</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2.辅助和服务性工程项目</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辅助和服务性的工程项目是指辅助使用功能部分的项目，如车库、商店、娱乐、托儿所等服务设施。</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3.室外工程项目</w:t>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室外工程项目是指红线以内的其他配套工程项目，包括土石方、道路、围墙、挡土墙、排水沟等各种构筑物、给排水管道、动力管网、供电线路、庭园绿化等。</w:t>
      </w:r>
    </w:p>
    <w:p>
      <w:pPr>
        <w:ind w:firstLine="640"/>
        <w:spacing w:line="360" w:lineRule="auto"/>
        <w:rPr>
          <w:rFonts w:ascii="楷体_GB2312" w:hAnsi="楷体_GB2312" w:eastAsia="楷体_GB2312" w:cs="宋体" w:hint="eastAsia"/>
          <w:b/>
          <w:sz w:val="32"/>
          <w:szCs w:val="32"/>
        </w:rPr>
      </w:pPr>
      <w:r>
        <w:rPr>
          <w:rFonts w:ascii="仿宋_GB2312" w:hAnsi="仿宋_GB2312" w:eastAsia="仿宋_GB2312" w:hint="eastAsia"/>
          <w:sz w:val="32"/>
          <w:szCs w:val="32"/>
        </w:rPr>
        <w:t>4.场外工程项目（包括道路、铁路专用线、桥涵、给排水、供热、供电、通讯等工程）。</w:t>
      </w:r>
      <w:r>
        <w:rPr>
          <w:rFonts w:ascii="楷体_GB2312" w:hAnsi="楷体_GB2312" w:eastAsia="楷体_GB2312" w:cs="宋体" w:hint="eastAsia"/>
          <w:b/>
          <w:sz w:val="32"/>
          <w:szCs w:val="32"/>
        </w:rPr>
      </w:r>
    </w:p>
    <w:p>
      <w:pPr>
        <w:ind w:firstLine="643"/>
        <w:spacing w:line="360" w:lineRule="auto"/>
        <w:rPr>
          <w:rFonts w:ascii="仿宋_GB2312" w:hAnsi="仿宋_GB2312" w:eastAsia="仿宋_GB2312" w:cs="宋体" w:hint="eastAsia"/>
          <w:sz w:val="32"/>
          <w:szCs w:val="32"/>
        </w:rPr>
      </w:pPr>
      <w:r>
        <w:rPr>
          <w:rFonts w:ascii="楷体_GB2312" w:hAnsi="楷体_GB2312" w:eastAsia="楷体_GB2312" w:cs="宋体" w:hint="eastAsia"/>
          <w:b/>
          <w:sz w:val="32"/>
          <w:szCs w:val="32"/>
        </w:rPr>
        <w:t>（四）总承包管理及试运行服务费</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1.总承包管理费</w:t>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总承包管理费</w:t>
      </w:r>
      <w:r>
        <w:rPr>
          <w:rFonts w:ascii="仿宋_GB2312" w:hAnsi="仿宋_GB2312" w:eastAsia="仿宋_GB2312" w:hint="eastAsia"/>
          <w:sz w:val="32"/>
          <w:szCs w:val="32"/>
        </w:rPr>
        <w:t>是指工程总承包企业组织勘察设计、设备购置、建筑安装施工及经营管理所需的费用以及对工程总承包管理应获的利润。内容包括总承包管理人员的工资、办公费、差旅交通费、工具用具使用费、保险费、税金、其他费用及利润等。</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2.试运行服务费</w:t>
      </w:r>
    </w:p>
    <w:p>
      <w:pPr>
        <w:ind w:firstLine="640"/>
        <w:spacing w:line="360" w:lineRule="auto"/>
        <w:rPr>
          <w:rFonts w:ascii="仿宋_GB2312" w:hAnsi="仿宋_GB2312" w:eastAsia="仿宋_GB2312" w:hint="eastAsia"/>
          <w:b/>
          <w:sz w:val="32"/>
          <w:szCs w:val="32"/>
        </w:rPr>
      </w:pPr>
      <w:r>
        <w:rPr>
          <w:rFonts w:ascii="仿宋_GB2312" w:hAnsi="仿宋_GB2312" w:eastAsia="仿宋_GB2312" w:cs="宋体" w:hint="eastAsia"/>
          <w:sz w:val="32"/>
          <w:szCs w:val="32"/>
        </w:rPr>
        <w:t>试运行服务费是指工程总承包企业派驻具有相应资格和经验的指导人员，并提供所需要的其它临时辅助设备、设施、工具和器具及相应的准备工作所发生的费用。</w:t>
      </w:r>
      <w:r>
        <w:rPr>
          <w:rFonts w:ascii="仿宋_GB2312" w:hAnsi="仿宋_GB2312" w:eastAsia="仿宋_GB2312" w:hint="eastAsia"/>
          <w:b/>
          <w:sz w:val="32"/>
          <w:szCs w:val="32"/>
        </w:rPr>
      </w:r>
    </w:p>
    <w:p>
      <w:pPr>
        <w:ind w:firstLine="640"/>
        <w:spacing w:line="360" w:lineRule="auto"/>
        <w:rPr>
          <w:rFonts w:ascii="楷体_GB2312" w:hAnsi="楷体_GB2312" w:eastAsia="楷体_GB2312" w:cs="宋体" w:hint="eastAsia"/>
          <w:b/>
          <w:sz w:val="32"/>
          <w:szCs w:val="32"/>
        </w:rPr>
      </w:pPr>
      <w:r>
        <w:rPr>
          <w:rFonts w:ascii="黑体" w:hAnsi="黑体" w:eastAsia="黑体" w:hint="eastAsia"/>
          <w:sz w:val="32"/>
          <w:szCs w:val="32"/>
        </w:rPr>
        <w:t>二、工程总承包费用项目计算</w:t>
      </w:r>
      <w:r>
        <w:rPr>
          <w:rFonts w:ascii="楷体_GB2312" w:hAnsi="楷体_GB2312" w:eastAsia="楷体_GB2312" w:cs="宋体" w:hint="eastAsia"/>
          <w:b/>
          <w:sz w:val="32"/>
          <w:szCs w:val="32"/>
        </w:rPr>
      </w:r>
    </w:p>
    <w:p>
      <w:pPr>
        <w:ind w:firstLine="643"/>
        <w:spacing w:line="360" w:lineRule="auto"/>
        <w:rPr>
          <w:rFonts w:ascii="仿宋_GB2312" w:hAnsi="仿宋_GB2312" w:eastAsia="仿宋_GB2312" w:cs="宋体" w:hint="eastAsia"/>
          <w:sz w:val="32"/>
          <w:szCs w:val="32"/>
        </w:rPr>
      </w:pPr>
      <w:r>
        <w:rPr>
          <w:rFonts w:ascii="楷体_GB2312" w:hAnsi="楷体_GB2312" w:eastAsia="楷体_GB2312" w:cs="宋体" w:hint="eastAsia"/>
          <w:b/>
          <w:sz w:val="32"/>
          <w:szCs w:val="32"/>
        </w:rPr>
        <w:t>（一）总则</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1.</w:t>
      </w:r>
      <w:r>
        <w:rPr>
          <w:rFonts w:ascii="仿宋_GB2312" w:hAnsi="仿宋_GB2312" w:eastAsia="仿宋_GB2312" w:hint="eastAsia"/>
          <w:sz w:val="32"/>
          <w:szCs w:val="32"/>
        </w:rPr>
        <w:t>工程总承包项目费用可按</w:t>
      </w:r>
      <w:r>
        <w:rPr>
          <w:rFonts w:ascii="仿宋_GB2312" w:hAnsi="仿宋_GB2312" w:eastAsia="仿宋_GB2312" w:cs="宋体" w:hint="eastAsia"/>
          <w:sz w:val="32"/>
          <w:szCs w:val="32"/>
        </w:rPr>
        <w:t>《工程总承包项目清单及计价参考表》及有关要求计算。《工程总承包项目清单及计价参考表》</w:t>
      </w:r>
      <w:r>
        <w:rPr>
          <w:rFonts w:ascii="仿宋_GB2312" w:hAnsi="仿宋_GB2312" w:eastAsia="仿宋_GB2312" w:hint="eastAsia"/>
          <w:sz w:val="32"/>
          <w:szCs w:val="32"/>
        </w:rPr>
        <w:t>详见附件</w:t>
      </w:r>
      <w:r>
        <w:rPr>
          <w:rFonts w:ascii="仿宋_GB2312" w:hAnsi="仿宋_GB2312" w:eastAsia="仿宋_GB2312" w:cs="宋体" w:hint="eastAsia"/>
          <w:sz w:val="32"/>
          <w:szCs w:val="32"/>
        </w:rPr>
        <w:t>。</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2.建设单位依据审批同意的方案设计或初步设计</w:t>
      </w:r>
      <w:r>
        <w:rPr>
          <w:rFonts w:ascii="仿宋_GB2312" w:hAnsi="仿宋_GB2312" w:eastAsia="仿宋_GB2312" w:hint="eastAsia"/>
          <w:sz w:val="32"/>
          <w:szCs w:val="32"/>
        </w:rPr>
        <w:t>按工程总承包的内容（规模）和要求（标准）编制工程总承包项目清单和计算工程总承包项目招标控制价（估算或概算）。</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3.工程总承包企业依据总承包项目清单、设计文件及建设单位要求编制工程总承包的投标报价文件。</w:t>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4.招标文件中给定的，用于支付必然发生但暂时不能确定价格的费用（包括勘察设计费、设备采购费、建筑安装工程费）以暂估价的形式计列。</w:t>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5.工程招标或签订合同（协议）时尚未确定的内容或不可预见的变更设计、施工及其所需材料、工程设备、服务等增加的费用按不可预见费计列。不可预见费使用权归属建设单位，签订总承包项目合同时，合同总价不包括不可预见费。</w:t>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不可预见费＝工程费用×不可预见费费率</w:t>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工程</w:t>
      </w:r>
      <w:r>
        <w:rPr>
          <w:rFonts w:ascii="仿宋_GB2312" w:hAnsi="仿宋_GB2312" w:eastAsia="仿宋_GB2312" w:hint="eastAsia"/>
          <w:sz w:val="32"/>
          <w:szCs w:val="32"/>
        </w:rPr>
        <w:t>费用</w:t>
      </w:r>
      <w:r>
        <w:rPr>
          <w:rFonts w:ascii="仿宋_GB2312" w:hAnsi="仿宋_GB2312" w:eastAsia="仿宋_GB2312" w:cs="宋体" w:hint="eastAsia"/>
          <w:sz w:val="32"/>
          <w:szCs w:val="32"/>
        </w:rPr>
        <w:t>＝</w:t>
      </w:r>
      <w:r>
        <w:rPr>
          <w:rFonts w:ascii="仿宋_GB2312" w:hAnsi="仿宋_GB2312" w:eastAsia="仿宋_GB2312" w:hint="eastAsia"/>
          <w:sz w:val="32"/>
          <w:szCs w:val="32"/>
        </w:rPr>
        <w:t>勘察</w:t>
      </w:r>
      <w:r>
        <w:rPr>
          <w:rFonts w:ascii="仿宋_GB2312" w:hAnsi="仿宋_GB2312" w:eastAsia="仿宋_GB2312" w:cs="宋体" w:hint="eastAsia"/>
          <w:sz w:val="32"/>
          <w:szCs w:val="32"/>
        </w:rPr>
        <w:t>设计费+建筑安装工程费+设备购置费</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工程费用包括暂估价。</w:t>
      </w:r>
    </w:p>
    <w:p>
      <w:pPr>
        <w:ind w:firstLine="640"/>
        <w:spacing w:line="360" w:lineRule="auto"/>
        <w:rPr>
          <w:rFonts w:ascii="楷体_GB2312" w:hAnsi="楷体_GB2312" w:eastAsia="楷体_GB2312" w:cs="宋体" w:hint="eastAsia"/>
          <w:b/>
          <w:sz w:val="32"/>
          <w:szCs w:val="32"/>
        </w:rPr>
      </w:pPr>
      <w:r>
        <w:rPr>
          <w:rFonts w:ascii="仿宋_GB2312" w:hAnsi="仿宋_GB2312" w:eastAsia="仿宋_GB2312" w:cs="宋体" w:hint="eastAsia"/>
          <w:sz w:val="32"/>
          <w:szCs w:val="32"/>
        </w:rPr>
        <w:t>6.</w:t>
      </w:r>
      <w:r>
        <w:rPr>
          <w:rFonts w:ascii="仿宋_GB2312" w:hAnsi="仿宋_GB2312" w:eastAsia="仿宋_GB2312" w:hint="eastAsia"/>
          <w:sz w:val="32"/>
          <w:szCs w:val="32"/>
        </w:rPr>
        <w:t xml:space="preserve"> 勘察设计费、设备购置费及建筑安装工程费等</w:t>
      </w:r>
      <w:r>
        <w:rPr>
          <w:rFonts w:ascii="仿宋_GB2312" w:hAnsi="仿宋_GB2312" w:eastAsia="仿宋_GB2312" w:cs="宋体" w:hint="eastAsia"/>
          <w:sz w:val="32"/>
          <w:szCs w:val="32"/>
        </w:rPr>
        <w:t>均为</w:t>
      </w:r>
      <w:r>
        <w:rPr>
          <w:rFonts w:ascii="仿宋_GB2312" w:hAnsi="仿宋_GB2312" w:eastAsia="仿宋_GB2312" w:cs="宋体" w:hint="eastAsia"/>
          <w:sz w:val="32"/>
          <w:szCs w:val="32"/>
        </w:rPr>
        <w:t>全费用</w:t>
      </w:r>
      <w:r>
        <w:rPr>
          <w:rFonts w:ascii="仿宋_GB2312" w:hAnsi="仿宋_GB2312" w:eastAsia="仿宋_GB2312" w:cs="宋体" w:hint="eastAsia"/>
          <w:sz w:val="32"/>
          <w:szCs w:val="32"/>
        </w:rPr>
        <w:t>价格（包括间接费、利润和税金）。</w:t>
      </w:r>
      <w:r>
        <w:rPr>
          <w:rFonts w:ascii="楷体_GB2312" w:hAnsi="楷体_GB2312" w:eastAsia="楷体_GB2312" w:cs="宋体" w:hint="eastAsia"/>
          <w:b/>
          <w:sz w:val="32"/>
          <w:szCs w:val="32"/>
        </w:rPr>
      </w:r>
    </w:p>
    <w:p>
      <w:pPr>
        <w:ind w:firstLine="643"/>
        <w:spacing w:line="360" w:lineRule="auto"/>
        <w:rPr>
          <w:rFonts w:ascii="仿宋_GB2312" w:hAnsi="仿宋_GB2312" w:eastAsia="仿宋_GB2312" w:cs="宋体" w:hint="eastAsia"/>
          <w:sz w:val="32"/>
          <w:szCs w:val="32"/>
        </w:rPr>
      </w:pPr>
      <w:r>
        <w:rPr>
          <w:rFonts w:ascii="楷体_GB2312" w:hAnsi="楷体_GB2312" w:eastAsia="楷体_GB2312" w:cs="宋体" w:hint="eastAsia"/>
          <w:b/>
          <w:sz w:val="32"/>
          <w:szCs w:val="32"/>
        </w:rPr>
        <w:t>（二）勘察设计费</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7.</w:t>
      </w:r>
      <w:r>
        <w:rPr>
          <w:rFonts w:ascii="仿宋_GB2312" w:hAnsi="仿宋_GB2312" w:eastAsia="仿宋_GB2312" w:hint="eastAsia"/>
          <w:sz w:val="32"/>
          <w:szCs w:val="32"/>
        </w:rPr>
        <w:t>勘察</w:t>
      </w:r>
      <w:r>
        <w:rPr>
          <w:rFonts w:ascii="仿宋_GB2312" w:hAnsi="仿宋_GB2312" w:eastAsia="仿宋_GB2312" w:cs="宋体" w:hint="eastAsia"/>
          <w:sz w:val="32"/>
          <w:szCs w:val="32"/>
        </w:rPr>
        <w:t>设计费参照《浙江省工程建设其他费用定额》及其他有关规定计算。</w:t>
      </w:r>
      <w:r>
        <w:rPr>
          <w:rFonts w:ascii="仿宋_GB2312" w:hAnsi="仿宋_GB2312" w:eastAsia="仿宋_GB2312" w:cs="宋体" w:hint="eastAsia"/>
          <w:sz w:val="32"/>
          <w:szCs w:val="32"/>
        </w:rPr>
      </w:r>
    </w:p>
    <w:p>
      <w:pPr>
        <w:ind w:firstLine="480"/>
        <w:spacing w:line="360" w:lineRule="auto"/>
        <w:rPr>
          <w:rFonts w:ascii="仿宋_GB2312" w:hAnsi="仿宋_GB2312" w:eastAsia="仿宋_GB2312" w:cs="宋体" w:hint="eastAsia"/>
          <w:sz w:val="32"/>
          <w:szCs w:val="32"/>
        </w:rPr>
      </w:pPr>
      <w:r>
        <w:rPr>
          <w:rFonts w:ascii="楷体_GB2312" w:hAnsi="楷体_GB2312" w:eastAsia="楷体_GB2312" w:cs="宋体" w:hint="eastAsia"/>
          <w:b/>
          <w:sz w:val="32"/>
          <w:szCs w:val="32"/>
        </w:rPr>
        <w:t>（三）设备购置费</w:t>
      </w:r>
      <w:r>
        <w:rPr>
          <w:rFonts w:ascii="仿宋_GB2312" w:hAnsi="仿宋_GB2312" w:eastAsia="仿宋_GB2312" w:cs="宋体" w:hint="eastAsia"/>
          <w:sz w:val="32"/>
          <w:szCs w:val="32"/>
        </w:rPr>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8.设备购置费的计算</w:t>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设备购置费=设备原价+设备</w:t>
      </w:r>
      <w:hyperlink r:id="rId9" w:history="1">
        <w:r>
          <w:rPr>
            <w:rFonts w:ascii="仿宋_GB2312" w:hAnsi="仿宋_GB2312" w:eastAsia="仿宋_GB2312" w:cs="宋体" w:hint="eastAsia"/>
            <w:sz w:val="32"/>
            <w:szCs w:val="32"/>
          </w:rPr>
          <w:t>运杂费</w:t>
        </w:r>
      </w:hyperlink>
    </w:p>
    <w:p>
      <w:pPr>
        <w:ind w:firstLine="480"/>
        <w:spacing w:line="360" w:lineRule="auto"/>
        <w:rPr>
          <w:rFonts w:ascii="仿宋_GB2312" w:hAnsi="仿宋_GB2312" w:eastAsia="仿宋_GB2312" w:cs="宋体" w:hint="eastAsia"/>
          <w:sz w:val="32"/>
          <w:szCs w:val="32"/>
        </w:rPr>
      </w:pPr>
      <w:hyperlink r:id="rId10" w:history="1">
        <w:r>
          <w:rPr>
            <w:rFonts w:ascii="仿宋_GB2312" w:hAnsi="仿宋_GB2312" w:eastAsia="仿宋_GB2312" w:cs="宋体" w:hint="eastAsia"/>
            <w:sz w:val="32"/>
            <w:szCs w:val="32"/>
          </w:rPr>
          <w:t>设备运杂费</w:t>
        </w:r>
      </w:hyperlink>
      <w:r>
        <w:rPr>
          <w:rFonts w:ascii="仿宋_GB2312" w:hAnsi="仿宋_GB2312" w:eastAsia="仿宋_GB2312" w:cs="宋体" w:hint="eastAsia"/>
          <w:sz w:val="32"/>
          <w:szCs w:val="32"/>
        </w:rPr>
        <w:t>主要由运费和</w:t>
      </w:r>
      <w:hyperlink r:id="rId11" w:history="1">
        <w:r>
          <w:rPr>
            <w:rFonts w:ascii="仿宋_GB2312" w:hAnsi="仿宋_GB2312" w:eastAsia="仿宋_GB2312" w:cs="宋体" w:hint="eastAsia"/>
            <w:sz w:val="32"/>
            <w:szCs w:val="32"/>
          </w:rPr>
          <w:t>装卸费</w:t>
        </w:r>
      </w:hyperlink>
      <w:r>
        <w:rPr>
          <w:rFonts w:ascii="仿宋_GB2312" w:hAnsi="仿宋_GB2312" w:eastAsia="仿宋_GB2312" w:cs="宋体" w:hint="eastAsia"/>
          <w:sz w:val="32"/>
          <w:szCs w:val="32"/>
        </w:rPr>
        <w:t>、包装费、设备供销部门手续费、采购与保管费组成。</w:t>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9.建设单位按工程要求列出采购设备的清单，采购设备清单一般应包括设备及备品备件的规格、型号、数量。</w:t>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建设单位未列出具体设备（包括规格、型号、数量）的，工程总承包企业可按招标要求自主报价，但在投标报价文件中应注明所报设备及备品备件的规格、型号、数量。</w:t>
      </w:r>
    </w:p>
    <w:p>
      <w:pPr>
        <w:ind w:firstLine="480"/>
        <w:spacing w:line="360" w:lineRule="auto"/>
        <w:rPr>
          <w:rFonts w:ascii="楷体_GB2312" w:hAnsi="楷体_GB2312" w:eastAsia="楷体_GB2312" w:cs="宋体" w:hint="eastAsia"/>
          <w:b/>
          <w:sz w:val="32"/>
          <w:szCs w:val="32"/>
        </w:rPr>
      </w:pPr>
      <w:r>
        <w:rPr>
          <w:rFonts w:ascii="仿宋_GB2312" w:hAnsi="仿宋_GB2312" w:eastAsia="仿宋_GB2312" w:cs="宋体" w:hint="eastAsia"/>
          <w:sz w:val="32"/>
          <w:szCs w:val="32"/>
        </w:rPr>
        <w:t>10.工程总承包企业应根据招标文件及采购设备清单的数量和要求计算设备购置费。</w:t>
      </w:r>
      <w:r>
        <w:rPr>
          <w:rFonts w:ascii="楷体_GB2312" w:hAnsi="楷体_GB2312" w:eastAsia="楷体_GB2312" w:cs="宋体" w:hint="eastAsia"/>
          <w:b/>
          <w:sz w:val="32"/>
          <w:szCs w:val="32"/>
        </w:rPr>
      </w:r>
    </w:p>
    <w:p>
      <w:pPr>
        <w:ind w:firstLine="480"/>
        <w:spacing w:line="360" w:lineRule="auto"/>
        <w:rPr>
          <w:rFonts w:ascii="仿宋_GB2312" w:hAnsi="仿宋_GB2312" w:eastAsia="仿宋_GB2312" w:cs="宋体" w:hint="eastAsia"/>
          <w:sz w:val="32"/>
          <w:szCs w:val="32"/>
        </w:rPr>
      </w:pPr>
      <w:r>
        <w:rPr>
          <w:rFonts w:ascii="楷体_GB2312" w:hAnsi="楷体_GB2312" w:eastAsia="楷体_GB2312" w:cs="宋体" w:hint="eastAsia"/>
          <w:b/>
          <w:sz w:val="32"/>
          <w:szCs w:val="32"/>
        </w:rPr>
        <w:t>（四）建筑安装工程费</w:t>
      </w:r>
      <w:r>
        <w:rPr>
          <w:rFonts w:ascii="仿宋_GB2312" w:hAnsi="仿宋_GB2312" w:eastAsia="仿宋_GB2312" w:cs="宋体" w:hint="eastAsia"/>
          <w:sz w:val="32"/>
          <w:szCs w:val="32"/>
        </w:rPr>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11.建设单位依据审批同意的方案设计编制建筑、安装工程估算；依据审批同意的初步设计</w:t>
      </w:r>
      <w:r>
        <w:rPr>
          <w:rFonts w:ascii="仿宋_GB2312" w:hAnsi="仿宋_GB2312" w:eastAsia="仿宋_GB2312" w:hint="eastAsia"/>
          <w:sz w:val="32"/>
          <w:szCs w:val="32"/>
        </w:rPr>
        <w:t>编制</w:t>
      </w:r>
      <w:r>
        <w:rPr>
          <w:rFonts w:ascii="仿宋_GB2312" w:hAnsi="仿宋_GB2312" w:eastAsia="仿宋_GB2312" w:cs="宋体" w:hint="eastAsia"/>
          <w:sz w:val="32"/>
          <w:szCs w:val="32"/>
        </w:rPr>
        <w:t>建筑、安装工程概算。</w:t>
      </w:r>
      <w:r>
        <w:rPr>
          <w:rFonts w:ascii="仿宋_GB2312" w:hAnsi="仿宋_GB2312" w:eastAsia="仿宋_GB2312" w:cs="宋体" w:hint="eastAsia"/>
          <w:sz w:val="32"/>
          <w:szCs w:val="32"/>
        </w:rPr>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建筑、安装工程估算可依据相应工程项目的估算（概算）指标、指数等进行编制；</w:t>
      </w:r>
      <w:r>
        <w:rPr>
          <w:rFonts w:ascii="仿宋_GB2312" w:hAnsi="仿宋_GB2312" w:eastAsia="仿宋_GB2312" w:hint="eastAsia"/>
          <w:sz w:val="32"/>
          <w:szCs w:val="32"/>
        </w:rPr>
        <w:t>建筑、安装</w:t>
      </w:r>
      <w:r>
        <w:rPr>
          <w:rFonts w:ascii="仿宋_GB2312" w:hAnsi="仿宋_GB2312" w:eastAsia="仿宋_GB2312" w:cs="宋体" w:hint="eastAsia"/>
          <w:sz w:val="32"/>
          <w:szCs w:val="32"/>
        </w:rPr>
        <w:t>工程概算可依据概算定额及相关指数等进行编制。</w:t>
      </w:r>
      <w:r>
        <w:rPr>
          <w:rFonts w:ascii="仿宋_GB2312" w:hAnsi="仿宋_GB2312" w:eastAsia="仿宋_GB2312" w:cs="宋体" w:hint="eastAsia"/>
          <w:sz w:val="32"/>
          <w:szCs w:val="32"/>
        </w:rPr>
      </w:r>
    </w:p>
    <w:p>
      <w:pPr>
        <w:ind w:firstLine="480"/>
        <w:spacing w:line="360" w:lineRule="auto"/>
        <w:rPr>
          <w:rFonts w:ascii="楷体_GB2312" w:hAnsi="楷体_GB2312" w:eastAsia="楷体_GB2312" w:cs="宋体" w:hint="eastAsia"/>
          <w:b/>
          <w:sz w:val="32"/>
          <w:szCs w:val="32"/>
        </w:rPr>
      </w:pPr>
      <w:r>
        <w:rPr>
          <w:rFonts w:ascii="仿宋_GB2312" w:hAnsi="仿宋_GB2312" w:eastAsia="仿宋_GB2312" w:cs="宋体" w:hint="eastAsia"/>
          <w:sz w:val="32"/>
          <w:szCs w:val="32"/>
        </w:rPr>
        <w:t>12.工程总承包企业可依据企业自身的情况参考估算（概算）指标、指数、概算定额等编制投标价格。</w:t>
      </w:r>
      <w:r>
        <w:rPr>
          <w:rFonts w:ascii="楷体_GB2312" w:hAnsi="楷体_GB2312" w:eastAsia="楷体_GB2312" w:cs="宋体" w:hint="eastAsia"/>
          <w:b/>
          <w:sz w:val="32"/>
          <w:szCs w:val="32"/>
        </w:rPr>
      </w:r>
    </w:p>
    <w:p>
      <w:pPr>
        <w:ind w:firstLine="480"/>
        <w:spacing w:line="360" w:lineRule="auto"/>
        <w:rPr>
          <w:rFonts w:ascii="仿宋_GB2312" w:hAnsi="仿宋_GB2312" w:eastAsia="仿宋_GB2312" w:cs="宋体" w:hint="eastAsia"/>
          <w:sz w:val="32"/>
          <w:szCs w:val="32"/>
        </w:rPr>
      </w:pPr>
      <w:r>
        <w:rPr>
          <w:rFonts w:ascii="楷体_GB2312" w:hAnsi="楷体_GB2312" w:eastAsia="楷体_GB2312" w:cs="宋体" w:hint="eastAsia"/>
          <w:b/>
          <w:sz w:val="32"/>
          <w:szCs w:val="32"/>
        </w:rPr>
        <w:t>（五）总承包管理及试运行服务费</w:t>
      </w:r>
      <w:r>
        <w:rPr>
          <w:rFonts w:ascii="仿宋_GB2312" w:hAnsi="仿宋_GB2312" w:eastAsia="仿宋_GB2312" w:cs="宋体" w:hint="eastAsia"/>
          <w:sz w:val="32"/>
          <w:szCs w:val="32"/>
        </w:rPr>
      </w:r>
    </w:p>
    <w:p>
      <w:pPr>
        <w:ind w:firstLine="48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13.工程总承包管理及试运行服务费以工程</w:t>
      </w:r>
      <w:r>
        <w:rPr>
          <w:rFonts w:ascii="仿宋_GB2312" w:hAnsi="仿宋_GB2312" w:eastAsia="仿宋_GB2312" w:hint="eastAsia"/>
          <w:sz w:val="32"/>
          <w:szCs w:val="32"/>
        </w:rPr>
        <w:t>费用</w:t>
      </w:r>
      <w:r>
        <w:rPr>
          <w:rFonts w:ascii="仿宋_GB2312" w:hAnsi="仿宋_GB2312" w:eastAsia="仿宋_GB2312" w:cs="宋体" w:hint="eastAsia"/>
          <w:sz w:val="32"/>
          <w:szCs w:val="32"/>
        </w:rPr>
        <w:t>为基数乘以相应费率计算。</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（1）总承包管理费 =工程</w:t>
      </w:r>
      <w:r>
        <w:rPr>
          <w:rFonts w:ascii="仿宋_GB2312" w:hAnsi="仿宋_GB2312" w:eastAsia="仿宋_GB2312" w:hint="eastAsia"/>
          <w:sz w:val="32"/>
          <w:szCs w:val="32"/>
        </w:rPr>
        <w:t>费用</w:t>
      </w:r>
      <w:r>
        <w:rPr>
          <w:rFonts w:ascii="仿宋_GB2312" w:hAnsi="仿宋_GB2312" w:eastAsia="仿宋_GB2312" w:cs="宋体" w:hint="eastAsia"/>
          <w:sz w:val="32"/>
          <w:szCs w:val="32"/>
        </w:rPr>
        <w:t>×</w:t>
      </w:r>
      <w:r>
        <w:rPr>
          <w:rFonts w:ascii="仿宋_GB2312" w:hAnsi="仿宋_GB2312" w:eastAsia="仿宋_GB2312" w:cs="宋体" w:hint="eastAsia"/>
          <w:sz w:val="32"/>
          <w:szCs w:val="32"/>
        </w:rPr>
        <w:t>总承包管理费费率</w:t>
      </w:r>
      <w:r>
        <w:rPr>
          <w:rFonts w:ascii="仿宋_GB2312" w:hAnsi="仿宋_GB2312" w:eastAsia="仿宋_GB2312" w:cs="宋体" w:hint="eastAsia"/>
          <w:sz w:val="32"/>
          <w:szCs w:val="32"/>
        </w:rPr>
      </w:r>
    </w:p>
    <w:p>
      <w:pPr>
        <w:ind w:firstLine="640"/>
        <w:spacing w:line="360" w:lineRule="auto"/>
        <w:rPr>
          <w:rFonts w:ascii="黑体" w:hAnsi="黑体" w:eastAsia="黑体" w:hint="eastAsia"/>
          <w:sz w:val="32"/>
          <w:szCs w:val="32"/>
        </w:rPr>
      </w:pPr>
      <w:r>
        <w:rPr>
          <w:rFonts w:ascii="仿宋_GB2312" w:hAnsi="仿宋_GB2312" w:eastAsia="仿宋_GB2312" w:cs="宋体" w:hint="eastAsia"/>
          <w:sz w:val="32"/>
          <w:szCs w:val="32"/>
        </w:rPr>
        <w:t>（2）试运行服务费＝工程费用×试运行服务费费率</w:t>
      </w:r>
      <w:r>
        <w:rPr>
          <w:rFonts w:ascii="黑体" w:hAnsi="黑体" w:eastAsia="黑体" w:hint="eastAsia"/>
          <w:sz w:val="32"/>
          <w:szCs w:val="32"/>
        </w:rPr>
      </w:r>
    </w:p>
    <w:p>
      <w:pPr>
        <w:ind w:firstLine="640"/>
        <w:spacing w:line="360" w:lineRule="auto"/>
        <w:rPr>
          <w:rFonts w:ascii="仿宋_GB2312" w:hAnsi="仿宋_GB2312" w:eastAsia="仿宋_GB2312" w:cs="宋体" w:hint="eastAsia"/>
          <w:sz w:val="32"/>
          <w:szCs w:val="32"/>
        </w:rPr>
      </w:pPr>
      <w:r>
        <w:rPr>
          <w:rFonts w:ascii="黑体" w:hAnsi="黑体" w:eastAsia="黑体" w:hint="eastAsia"/>
          <w:sz w:val="32"/>
          <w:szCs w:val="32"/>
        </w:rPr>
        <w:t>三、合同价款与工程结算</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建设单位和工程总承包企业应根据中标价格确定合同价款。</w:t>
      </w:r>
      <w:r>
        <w:rPr>
          <w:rFonts w:ascii="仿宋_GB2312" w:hAnsi="仿宋_GB2312" w:eastAsia="仿宋_GB2312" w:hint="eastAsia"/>
          <w:sz w:val="32"/>
          <w:szCs w:val="32"/>
        </w:rPr>
        <w:t>工程总承包企业按工程总承包招标项目清单的要求所报的价格清单是合同文件的组成部分。</w:t>
      </w:r>
      <w:r>
        <w:rPr>
          <w:rFonts w:ascii="仿宋_GB2312" w:hAnsi="仿宋_GB2312" w:eastAsia="仿宋_GB2312" w:cs="宋体"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工程总承包合同宜采用总价包干的固定总价合同形式，除招标文件或工程总承包合同中约定的调价原则外，一般不予调整。</w:t>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建设单位和工程总承包企业应在工程总承包合同中约定总承包企业在工程设备、主要材料、人工等计价要素因价格波动引起所能承担的风险幅度。工程结算时，当计价要素的价格和招标时基期价相比，波动幅度超过总承包合同约定幅度部分的价差应予以调整。</w:t>
      </w:r>
    </w:p>
    <w:p>
      <w:pPr>
        <w:ind w:firstLine="640"/>
        <w:spacing w:line="360" w:lineRule="auto"/>
        <w:rPr>
          <w:rFonts w:ascii="仿宋_GB2312" w:hAnsi="仿宋_GB2312" w:eastAsia="仿宋_GB2312" w:hint="eastAsia"/>
          <w:sz w:val="32"/>
          <w:szCs w:val="32"/>
        </w:rPr>
      </w:pPr>
      <w:r>
        <w:rPr>
          <w:rFonts w:ascii="仿宋_GB2312" w:hAnsi="仿宋_GB2312" w:eastAsia="仿宋_GB2312" w:cs="宋体" w:hint="eastAsia"/>
          <w:sz w:val="32"/>
          <w:szCs w:val="32"/>
        </w:rPr>
        <w:t>价差调整可采用价格指数调整或采用造价信息补差</w:t>
      </w:r>
      <w:r/>
      <w:bookmarkStart w:id="0" w:name="_GoBack"/>
      <w:bookmarkEnd w:id="0"/>
      <w:r/>
      <w:r>
        <w:rPr>
          <w:rFonts w:ascii="仿宋_GB2312" w:hAnsi="仿宋_GB2312" w:eastAsia="仿宋_GB2312" w:cs="宋体" w:hint="eastAsia"/>
          <w:sz w:val="32"/>
          <w:szCs w:val="32"/>
        </w:rPr>
        <w:t>等方法。建设单位和工程总承包企业应在合同中明确价差调整的具体方法。</w:t>
      </w:r>
      <w:r>
        <w:rPr>
          <w:rFonts w:ascii="仿宋_GB2312" w:hAnsi="仿宋_GB2312" w:eastAsia="仿宋_GB2312" w:hint="eastAsia"/>
          <w:sz w:val="32"/>
          <w:szCs w:val="32"/>
        </w:rPr>
      </w:r>
    </w:p>
    <w:p>
      <w:pPr>
        <w:ind w:firstLine="64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t>除本规则规定外，工程总承包合同价款可参照“工程总承包合同示范文本”相应合同条款约定。</w:t>
      </w:r>
    </w:p>
    <w:p>
      <w:pPr>
        <w:ind w:firstLine="480"/>
        <w:spacing w:line="360" w:lineRule="auto"/>
        <w:rPr>
          <w:rFonts w:ascii="仿宋_GB2312" w:hAnsi="仿宋_GB2312" w:eastAsia="仿宋_GB2312" w:hint="eastAsia"/>
          <w:sz w:val="32"/>
          <w:szCs w:val="32"/>
        </w:rPr>
      </w:pPr>
      <w:r>
        <w:rPr>
          <w:rFonts w:ascii="仿宋_GB2312" w:hAnsi="仿宋_GB2312" w:eastAsia="仿宋_GB2312" w:hint="eastAsia"/>
          <w:sz w:val="32"/>
          <w:szCs w:val="32"/>
        </w:rPr>
      </w:r>
    </w:p>
    <w:p>
      <w:pPr>
        <w:ind w:firstLine="640"/>
        <w:spacing w:line="360" w:lineRule="auto"/>
        <w:rPr>
          <w:rFonts w:ascii="仿宋_GB2312" w:hAnsi="仿宋_GB2312" w:eastAsia="仿宋_GB2312" w:cs="宋体" w:hint="eastAsia"/>
          <w:sz w:val="32"/>
          <w:szCs w:val="32"/>
        </w:rPr>
      </w:pPr>
      <w:r>
        <w:rPr>
          <w:rFonts w:ascii="仿宋_GB2312" w:hAnsi="仿宋_GB2312" w:eastAsia="仿宋_GB2312" w:cs="宋体" w:hint="eastAsia"/>
          <w:sz w:val="32"/>
          <w:szCs w:val="32"/>
        </w:rPr>
        <w:t>附件：《工程总承包项目清单及计价参考表》</w:t>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hint="eastAsia"/>
          <w:sz w:val="28"/>
          <w:szCs w:val="28"/>
        </w:rPr>
      </w:pPr>
      <w:r>
        <w:rPr>
          <w:rFonts w:ascii="宋体" w:hAnsi="宋体" w:cs="宋体" w:hint="eastAsia"/>
          <w:sz w:val="28"/>
          <w:szCs w:val="28"/>
        </w:rPr>
      </w:r>
    </w:p>
    <w:p>
      <w:pPr>
        <w:spacing w:line="360" w:lineRule="auto"/>
        <w:rPr>
          <w:rFonts w:ascii="宋体" w:hAnsi="宋体" w:cs="宋体"/>
          <w:sz w:val="28"/>
          <w:szCs w:val="28"/>
        </w:rPr>
      </w:pPr>
      <w:r>
        <w:rPr>
          <w:rFonts w:ascii="宋体" w:hAnsi="宋体" w:cs="宋体"/>
          <w:sz w:val="28"/>
          <w:szCs w:val="28"/>
        </w:rPr>
      </w:r>
    </w:p>
    <w:p>
      <w:pPr>
        <w:spacing w:line="360" w:lineRule="auto"/>
        <w:rPr>
          <w:sz w:val="28"/>
          <w:szCs w:val="28"/>
        </w:rPr>
      </w:pPr>
      <w:r>
        <w:rPr>
          <w:sz w:val="28"/>
          <w:szCs w:val="28"/>
        </w:rPr>
        <w:t xml:space="preserve">                                                                    </w:t>
      </w:r>
    </w:p>
    <w:p>
      <w:pPr>
        <w:spacing w:line="360" w:lineRule="auto"/>
        <w:rPr>
          <w:rFonts w:ascii="黑体" w:hAnsi="黑体" w:eastAsia="黑体" w:hint="eastAsia"/>
          <w:sz w:val="32"/>
          <w:szCs w:val="32"/>
        </w:rPr>
      </w:pPr>
      <w:r>
        <w:rPr>
          <w:rFonts w:ascii="黑体" w:hAnsi="黑体" w:eastAsia="黑体" w:hint="eastAsia"/>
          <w:sz w:val="32"/>
          <w:szCs w:val="32"/>
        </w:rPr>
        <w:t>附件</w:t>
      </w:r>
    </w:p>
    <w:p>
      <w:pPr>
        <w:spacing w:line="360" w:lineRule="auto"/>
        <w:jc w:val="center"/>
        <w:rPr>
          <w:rFonts w:ascii="方正小标宋_GBK" w:hAnsi="方正小标宋_GBK" w:eastAsia="方正小标宋_GBK" w:hint="eastAsia"/>
          <w:sz w:val="44"/>
          <w:szCs w:val="44"/>
        </w:rPr>
      </w:pPr>
      <w:r>
        <w:rPr>
          <w:rFonts w:ascii="方正小标宋_GBK" w:hAnsi="方正小标宋_GBK" w:eastAsia="方正小标宋_GBK" w:hint="eastAsia"/>
          <w:sz w:val="44"/>
          <w:szCs w:val="44"/>
        </w:rPr>
        <w:t>工程总承包项目清单及计价参考表</w:t>
      </w:r>
    </w:p>
    <w:p>
      <w:pPr>
        <w:ind w:firstLine="480"/>
        <w:spacing w:line="360" w:lineRule="auto"/>
        <w:rPr>
          <w:rFonts w:ascii="黑体" w:hAnsi="黑体" w:eastAsia="黑体"/>
          <w:sz w:val="28"/>
          <w:szCs w:val="28"/>
        </w:rPr>
      </w:pPr>
      <w:r>
        <w:rPr>
          <w:rFonts w:ascii="黑体" w:hAnsi="黑体" w:eastAsia="黑体" w:hint="eastAsia"/>
          <w:sz w:val="28"/>
          <w:szCs w:val="28"/>
        </w:rPr>
        <w:t>一、工程总承包费用汇总表</w:t>
      </w:r>
      <w:r>
        <w:rPr>
          <w:rFonts w:ascii="黑体" w:hAnsi="黑体" w:eastAsia="黑体"/>
          <w:sz w:val="28"/>
          <w:szCs w:val="28"/>
        </w:rPr>
      </w:r>
    </w:p>
    <w:tbl>
      <w:tblPr>
        <w:jc w:val="center"/>
        <w:tblW w:w="8367" w:type="dxa"/>
      </w:tblPr>
      <w:tblGrid>
        <w:gridCol w:w="897"/>
        <w:gridCol w:w="2957"/>
        <w:gridCol w:w="1997"/>
        <w:gridCol w:w="2516"/>
      </w:tblGrid>
      <w:tr>
        <w:trPr>
          <w:trHeight w:val="624" w:hRule="atLeast"/>
        </w:trPr>
        <w:tc>
          <w:tcPr>
            <w:tcW w:w="89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序号</w:t>
            </w:r>
            <w:r>
              <w:rPr>
                <w:b/>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项目名称</w:t>
            </w:r>
            <w:r>
              <w:rPr>
                <w:b/>
                <w:szCs w:val="21"/>
              </w:rPr>
            </w:r>
          </w:p>
        </w:tc>
        <w:tc>
          <w:tcPr>
            <w:tcW w:w="19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金额（元）</w:t>
            </w:r>
            <w:r>
              <w:rPr>
                <w:b/>
                <w:szCs w:val="21"/>
              </w:rPr>
            </w:r>
          </w:p>
        </w:tc>
        <w:tc>
          <w:tcPr>
            <w:tcW w:w="251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备注</w:t>
            </w:r>
            <w:r>
              <w:rPr>
                <w:b/>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一</w:t>
            </w:r>
            <w:r>
              <w:rPr>
                <w:b/>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勘察设计费</w:t>
            </w:r>
            <w:r>
              <w:rPr>
                <w:b/>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二</w:t>
            </w:r>
            <w:r>
              <w:rPr>
                <w:b/>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设备购置费</w:t>
            </w:r>
            <w:r>
              <w:rPr>
                <w:b/>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三</w:t>
            </w:r>
            <w:r>
              <w:rPr>
                <w:b/>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建筑安装工程费</w:t>
            </w:r>
            <w:r>
              <w:rPr>
                <w:b/>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四</w:t>
            </w:r>
            <w:r>
              <w:rPr>
                <w:b/>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总承包管理及试运行服务费</w:t>
            </w:r>
            <w:r>
              <w:rPr>
                <w:b/>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五</w:t>
            </w:r>
            <w:r>
              <w:rPr>
                <w:b/>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不可预见费</w:t>
            </w:r>
            <w:r>
              <w:rPr>
                <w:b/>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 w:val="28"/>
                <w:szCs w:val="28"/>
              </w:rPr>
            </w:pPr>
            <w:r>
              <w:rPr>
                <w:sz w:val="28"/>
                <w:szCs w:val="28"/>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 w:val="28"/>
                <w:szCs w:val="28"/>
              </w:rPr>
            </w:pPr>
            <w:r>
              <w:rPr>
                <w:sz w:val="28"/>
                <w:szCs w:val="28"/>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ind w:right="-42"/>
              <w:widowControl/>
              <w:rPr>
                <w:szCs w:val="21"/>
              </w:rPr>
            </w:pPr>
            <w:r>
              <w:rPr>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rFonts w:eastAsia="黑体"/>
                <w:szCs w:val="21"/>
              </w:rPr>
            </w:pPr>
            <w:r>
              <w:rPr>
                <w:rFonts w:eastAsia="黑体"/>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rFonts w:eastAsia="黑体"/>
                <w:szCs w:val="21"/>
              </w:rPr>
            </w:pPr>
            <w:r>
              <w:rPr>
                <w:rFonts w:eastAsia="黑体"/>
                <w:szCs w:val="21"/>
              </w:rPr>
            </w:r>
          </w:p>
        </w:tc>
      </w:tr>
      <w:tr>
        <w:trPr>
          <w:trHeight w:val="624" w:hRule="atLeast"/>
        </w:trPr>
        <w:tc>
          <w:tcPr>
            <w:tcW w:w="89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5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99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516"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24" w:hRule="atLeast"/>
        </w:trPr>
        <w:tc>
          <w:tcPr>
            <w:tcW w:w="3854" w:type="dxa"/>
            <w:gridSpan w:val="2"/>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合计总价</w:t>
            </w:r>
            <w:r>
              <w:rPr>
                <w:b/>
                <w:szCs w:val="21"/>
              </w:rPr>
            </w:r>
          </w:p>
        </w:tc>
        <w:tc>
          <w:tcPr>
            <w:tcW w:w="4513" w:type="dxa"/>
            <w:gridSpan w:val="2"/>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r>
    </w:tbl>
    <w:p>
      <w:pPr>
        <w:ind w:firstLine="210"/>
        <w:spacing w:line="360" w:lineRule="auto"/>
        <w:rPr>
          <w:sz w:val="28"/>
          <w:szCs w:val="28"/>
        </w:rPr>
      </w:pPr>
      <w:r>
        <w:t>注：不可预见费不列入总承包合同价。</w:t>
      </w:r>
      <w:r>
        <w:rPr>
          <w:sz w:val="28"/>
          <w:szCs w:val="28"/>
        </w:rPr>
      </w:r>
    </w:p>
    <w:p>
      <w:pPr>
        <w:ind w:firstLine="480"/>
        <w:spacing w:line="360" w:lineRule="auto"/>
        <w:rPr>
          <w:rFonts w:ascii="黑体" w:hAnsi="黑体" w:eastAsia="黑体"/>
          <w:sz w:val="28"/>
          <w:szCs w:val="28"/>
        </w:rPr>
      </w:pPr>
      <w:r>
        <w:rPr>
          <w:rFonts w:ascii="黑体" w:hAnsi="黑体" w:eastAsia="黑体" w:hint="eastAsia"/>
          <w:sz w:val="28"/>
          <w:szCs w:val="28"/>
        </w:rPr>
        <w:t>二、勘察设计费</w:t>
      </w:r>
      <w:r>
        <w:rPr>
          <w:rFonts w:ascii="黑体" w:hAnsi="黑体" w:eastAsia="黑体"/>
          <w:sz w:val="28"/>
          <w:szCs w:val="28"/>
        </w:rPr>
      </w:r>
    </w:p>
    <w:tbl>
      <w:tblPr>
        <w:jc w:val="center"/>
        <w:tblW w:w="8525" w:type="dxa"/>
      </w:tblPr>
      <w:tblGrid>
        <w:gridCol w:w="916"/>
        <w:gridCol w:w="1460"/>
        <w:gridCol w:w="3121"/>
        <w:gridCol w:w="1417"/>
        <w:gridCol w:w="1611"/>
      </w:tblGrid>
      <w:tr>
        <w:trPr>
          <w:trHeight w:val="439" w:hRule="atLeast"/>
        </w:trPr>
        <w:tc>
          <w:tcPr>
            <w:tcW w:w="9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序号</w:t>
            </w: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项目名称</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工作内容</w:t>
            </w:r>
            <w:r>
              <w:rPr>
                <w:b/>
                <w:szCs w:val="21"/>
              </w:rPr>
            </w:r>
          </w:p>
        </w:tc>
        <w:tc>
          <w:tcPr>
            <w:tcW w:w="141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金额（元）</w:t>
            </w:r>
            <w:r>
              <w:rPr>
                <w:b/>
                <w:szCs w:val="21"/>
              </w:rPr>
            </w:r>
          </w:p>
        </w:tc>
        <w:tc>
          <w:tcPr>
            <w:tcW w:w="161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备注</w:t>
            </w:r>
            <w:r>
              <w:rPr>
                <w:b/>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（一）</w:t>
            </w: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工程勘察费</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（二）</w:t>
            </w: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工程设计费</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1</w:t>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初步设计费</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2</w:t>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施工图设计费</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3</w:t>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技术设计费</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4</w:t>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其他设计费</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（三）</w:t>
            </w: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设计费暂估价</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916"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46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39" w:hRule="atLeast"/>
        </w:trPr>
        <w:tc>
          <w:tcPr>
            <w:tcW w:w="2376" w:type="dxa"/>
            <w:gridSpan w:val="2"/>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合计费用</w:t>
            </w:r>
            <w:r>
              <w:rPr>
                <w:b/>
                <w:szCs w:val="21"/>
              </w:rPr>
            </w:r>
          </w:p>
        </w:tc>
        <w:tc>
          <w:tcPr>
            <w:tcW w:w="312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17"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61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bl>
    <w:p>
      <w:pPr>
        <w:ind w:firstLine="480"/>
        <w:spacing w:line="360" w:lineRule="auto"/>
        <w:rPr>
          <w:rFonts w:ascii="黑体" w:hAnsi="黑体" w:eastAsia="黑体"/>
          <w:sz w:val="28"/>
          <w:szCs w:val="28"/>
        </w:rPr>
      </w:pPr>
      <w:r>
        <w:rPr>
          <w:rFonts w:ascii="黑体" w:hAnsi="黑体" w:eastAsia="黑体" w:hint="eastAsia"/>
          <w:sz w:val="28"/>
          <w:szCs w:val="28"/>
        </w:rPr>
        <w:t>三、设备购置费</w:t>
      </w:r>
      <w:r>
        <w:rPr>
          <w:rFonts w:ascii="黑体" w:hAnsi="黑体" w:eastAsia="黑体"/>
          <w:sz w:val="28"/>
          <w:szCs w:val="28"/>
        </w:rPr>
      </w:r>
    </w:p>
    <w:tbl>
      <w:tblPr>
        <w:jc w:val="center"/>
        <w:tblW w:w="8643" w:type="dxa"/>
      </w:tblPr>
      <w:tblGrid>
        <w:gridCol w:w="867"/>
        <w:gridCol w:w="2343"/>
        <w:gridCol w:w="1464"/>
        <w:gridCol w:w="1097"/>
        <w:gridCol w:w="1459"/>
        <w:gridCol w:w="1413"/>
      </w:tblGrid>
      <w:tr>
        <w:trPr>
          <w:trHeight w:val="483" w:hRule="atLeast"/>
        </w:trPr>
        <w:tc>
          <w:tcPr>
            <w:tcW w:w="86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t>序号</w:t>
            </w: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设备名称</w:t>
            </w: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规格、型号</w:t>
            </w: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数量</w:t>
            </w:r>
            <w:r>
              <w:rPr>
                <w:szCs w:val="21"/>
              </w:rPr>
            </w:r>
          </w:p>
        </w:tc>
        <w:tc>
          <w:tcPr>
            <w:tcW w:w="1459"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单价（元）</w:t>
            </w:r>
            <w:r>
              <w:rPr>
                <w:szCs w:val="21"/>
              </w:rPr>
            </w:r>
          </w:p>
        </w:tc>
        <w:tc>
          <w:tcPr>
            <w:tcW w:w="141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合价（元）</w:t>
            </w: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t>(</w:t>
            </w:r>
            <w:r>
              <w:rPr>
                <w:rFonts w:ascii="宋体" w:hAnsi="宋体" w:hint="eastAsia"/>
                <w:b/>
                <w:szCs w:val="21"/>
              </w:rPr>
              <w:t>一</w:t>
            </w:r>
            <w:r>
              <w:rPr>
                <w:rFonts w:ascii="宋体" w:hAnsi="宋体"/>
                <w:b/>
                <w:szCs w:val="21"/>
              </w:rPr>
              <w:t>)</w:t>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工程设备费</w:t>
            </w:r>
            <w:r>
              <w:rPr>
                <w:b/>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t>(</w:t>
            </w:r>
            <w:r>
              <w:rPr>
                <w:rFonts w:ascii="宋体" w:hAnsi="宋体" w:hint="eastAsia"/>
                <w:b/>
                <w:szCs w:val="21"/>
              </w:rPr>
              <w:t>二</w:t>
            </w:r>
            <w:r>
              <w:rPr>
                <w:rFonts w:ascii="宋体" w:hAnsi="宋体"/>
                <w:b/>
                <w:szCs w:val="21"/>
              </w:rPr>
              <w:t>)</w:t>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rPr>
              <w:t>必备的备品备件费</w:t>
            </w:r>
            <w:r>
              <w:rPr>
                <w:b/>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hint="eastAsia"/>
                <w:b/>
                <w:szCs w:val="21"/>
              </w:rPr>
              <w:t>（三）</w:t>
            </w:r>
            <w:r>
              <w:rPr>
                <w:rFonts w:ascii="宋体" w:hAnsi="宋体"/>
                <w:b/>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rPr>
            </w:pPr>
            <w:r>
              <w:rPr>
                <w:b/>
              </w:rPr>
              <w:t>设备费暂估价</w:t>
            </w:r>
            <w:r>
              <w:rPr>
                <w:b/>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867"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34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83" w:hRule="atLeast"/>
        </w:trPr>
        <w:tc>
          <w:tcPr>
            <w:tcW w:w="3210" w:type="dxa"/>
            <w:gridSpan w:val="2"/>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合计费用</w:t>
            </w:r>
            <w:r>
              <w:rPr>
                <w:b/>
                <w:szCs w:val="21"/>
              </w:rPr>
            </w:r>
          </w:p>
        </w:tc>
        <w:tc>
          <w:tcPr>
            <w:tcW w:w="1464"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09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45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1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bl>
    <w:p>
      <w:pPr>
        <w:ind w:firstLine="480"/>
        <w:spacing w:line="360" w:lineRule="auto"/>
        <w:rPr>
          <w:rFonts w:ascii="黑体" w:hAnsi="黑体" w:eastAsia="黑体"/>
          <w:sz w:val="28"/>
          <w:szCs w:val="28"/>
        </w:rPr>
      </w:pPr>
      <w:r>
        <w:t>备注：</w:t>
      </w:r>
      <w:r>
        <w:rPr>
          <w:rFonts w:ascii="黑体" w:hAnsi="黑体" w:eastAsia="黑体"/>
          <w:sz w:val="28"/>
          <w:szCs w:val="28"/>
        </w:rPr>
      </w:r>
      <w:r>
        <w:br w:type="page"/>
      </w:r>
    </w:p>
    <w:p>
      <w:pPr>
        <w:ind w:firstLine="480"/>
        <w:spacing w:line="360" w:lineRule="auto"/>
        <w:rPr>
          <w:rFonts w:ascii="黑体" w:hAnsi="黑体" w:eastAsia="黑体"/>
          <w:sz w:val="28"/>
          <w:szCs w:val="28"/>
        </w:rPr>
      </w:pPr>
      <w:r>
        <w:rPr>
          <w:rFonts w:ascii="黑体" w:hAnsi="黑体" w:eastAsia="黑体" w:hint="eastAsia"/>
          <w:sz w:val="28"/>
          <w:szCs w:val="28"/>
        </w:rPr>
        <w:t>四、建筑安装工程费</w:t>
      </w:r>
      <w:r>
        <w:rPr>
          <w:rFonts w:ascii="黑体" w:hAnsi="黑体" w:eastAsia="黑体"/>
          <w:sz w:val="28"/>
          <w:szCs w:val="28"/>
        </w:rPr>
      </w:r>
    </w:p>
    <w:tbl>
      <w:tblPr>
        <w:jc w:val="center"/>
        <w:tblW w:w="8401" w:type="dxa"/>
      </w:tblPr>
      <w:tblGrid>
        <w:gridCol w:w="838"/>
        <w:gridCol w:w="1566"/>
        <w:gridCol w:w="2137"/>
        <w:gridCol w:w="780"/>
        <w:gridCol w:w="779"/>
        <w:gridCol w:w="1178"/>
        <w:gridCol w:w="1123"/>
      </w:tblGrid>
      <w:tr>
        <w:trPr>
          <w:trHeight w:val="418" w:hRule="atLeast"/>
        </w:trPr>
        <w:tc>
          <w:tcPr>
            <w:tcW w:w="83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t>序号</w:t>
            </w: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项目名称</w:t>
            </w: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工作内容</w:t>
            </w:r>
            <w:r>
              <w:rPr>
                <w:szCs w:val="21"/>
              </w:rPr>
            </w:r>
          </w:p>
        </w:tc>
        <w:tc>
          <w:tcPr>
            <w:tcW w:w="780"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单位</w:t>
            </w:r>
            <w:r>
              <w:rPr>
                <w:szCs w:val="21"/>
              </w:rPr>
            </w:r>
          </w:p>
        </w:tc>
        <w:tc>
          <w:tcPr>
            <w:tcW w:w="779"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数量</w:t>
            </w:r>
            <w:r>
              <w:rPr>
                <w:szCs w:val="21"/>
              </w:rPr>
            </w:r>
          </w:p>
        </w:tc>
        <w:tc>
          <w:tcPr>
            <w:tcW w:w="1178"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rPr>
                <w:szCs w:val="21"/>
              </w:rPr>
            </w:pPr>
            <w:r>
              <w:rPr>
                <w:szCs w:val="21"/>
              </w:rPr>
              <w:t>单价（元）</w:t>
            </w:r>
            <w:r>
              <w:rPr>
                <w:szCs w:val="21"/>
              </w:rPr>
            </w:r>
          </w:p>
        </w:tc>
        <w:tc>
          <w:tcPr>
            <w:tcW w:w="1123"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rPr>
                <w:szCs w:val="21"/>
              </w:rPr>
            </w:pPr>
            <w:r>
              <w:rPr>
                <w:szCs w:val="21"/>
              </w:rPr>
              <w:t>合价（元）</w:t>
            </w:r>
            <w:r>
              <w:rPr>
                <w:szCs w:val="21"/>
              </w:rPr>
            </w:r>
          </w:p>
        </w:tc>
      </w:tr>
      <w:tr>
        <w:trPr>
          <w:trHeight w:val="35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t>(</w:t>
            </w:r>
            <w:r>
              <w:rPr>
                <w:rFonts w:ascii="宋体" w:hAnsi="宋体" w:hint="eastAsia"/>
                <w:b/>
                <w:szCs w:val="21"/>
              </w:rPr>
              <w:t>一</w:t>
            </w:r>
            <w:r>
              <w:rPr>
                <w:rFonts w:ascii="宋体" w:hAnsi="宋体"/>
                <w:b/>
                <w:szCs w:val="21"/>
              </w:rPr>
              <w:t>)</w:t>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rPr>
                <w:b/>
                <w:szCs w:val="21"/>
              </w:rPr>
            </w:pPr>
            <w:r>
              <w:rPr>
                <w:b/>
                <w:szCs w:val="21"/>
              </w:rPr>
              <w:t>主要工程项目费</w:t>
            </w: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18"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18"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18"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18"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18"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418"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t>(</w:t>
            </w:r>
            <w:r>
              <w:rPr>
                <w:rFonts w:ascii="宋体" w:hAnsi="宋体" w:hint="eastAsia"/>
                <w:b/>
                <w:szCs w:val="21"/>
              </w:rPr>
              <w:t>二</w:t>
            </w:r>
            <w:r>
              <w:rPr>
                <w:rFonts w:ascii="宋体" w:hAnsi="宋体"/>
                <w:b/>
                <w:szCs w:val="21"/>
              </w:rPr>
              <w:t>)</w:t>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辅助和服务性的工程项目费</w:t>
            </w: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t>(</w:t>
            </w:r>
            <w:r>
              <w:rPr>
                <w:rFonts w:ascii="宋体" w:hAnsi="宋体" w:hint="eastAsia"/>
                <w:b/>
                <w:szCs w:val="21"/>
              </w:rPr>
              <w:t>三</w:t>
            </w:r>
            <w:r>
              <w:rPr>
                <w:rFonts w:ascii="宋体" w:hAnsi="宋体"/>
                <w:b/>
                <w:szCs w:val="21"/>
              </w:rPr>
              <w:t>)</w:t>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室外工程项目费</w:t>
            </w: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场外工程项目费</w:t>
            </w: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ind w:left="-63"/>
              <w:spacing/>
              <w:jc w:val="center"/>
              <w:widowControl/>
              <w:rPr>
                <w:rFonts w:ascii="宋体" w:hAnsi="宋体"/>
                <w:b/>
                <w:szCs w:val="21"/>
              </w:rPr>
            </w:pPr>
            <w:r>
              <w:rPr>
                <w:rFonts w:ascii="宋体" w:hAnsi="宋体" w:hint="eastAsia"/>
                <w:b/>
                <w:szCs w:val="21"/>
              </w:rPr>
              <w:t>（五）</w:t>
            </w:r>
            <w:r>
              <w:rPr>
                <w:rFonts w:ascii="宋体" w:hAnsi="宋体"/>
                <w:b/>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建安费暂估价</w:t>
            </w: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rFonts w:ascii="宋体" w:hAnsi="宋体"/>
                <w:b/>
                <w:szCs w:val="21"/>
              </w:rPr>
            </w:pPr>
            <w:r>
              <w:rPr>
                <w:rFonts w:ascii="宋体" w:hAnsi="宋体"/>
                <w:b/>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838"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566"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2137"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780"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779"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7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123"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396" w:hRule="atLeast"/>
        </w:trPr>
        <w:tc>
          <w:tcPr>
            <w:tcW w:w="2404" w:type="dxa"/>
            <w:gridSpan w:val="2"/>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合计费用</w:t>
            </w:r>
            <w:r>
              <w:rPr>
                <w:b/>
                <w:szCs w:val="21"/>
              </w:rPr>
            </w:r>
          </w:p>
        </w:tc>
        <w:tc>
          <w:tcPr>
            <w:tcW w:w="5997" w:type="dxa"/>
            <w:gridSpan w:val="5"/>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bl>
    <w:p>
      <w:pPr>
        <w:spacing w:line="440" w:lineRule="exact"/>
        <w:rPr>
          <w:szCs w:val="21"/>
        </w:rPr>
      </w:pPr>
      <w:r>
        <w:rPr>
          <w:szCs w:val="21"/>
        </w:rPr>
        <w:t>备注：</w:t>
      </w:r>
      <w:r>
        <w:rPr>
          <w:szCs w:val="21"/>
        </w:rPr>
      </w:r>
    </w:p>
    <w:p>
      <w:pPr>
        <w:ind w:firstLine="480"/>
        <w:spacing w:line="360" w:lineRule="auto"/>
        <w:rPr>
          <w:rFonts w:ascii="黑体" w:hAnsi="黑体" w:eastAsia="黑体"/>
          <w:sz w:val="28"/>
          <w:szCs w:val="28"/>
        </w:rPr>
      </w:pPr>
      <w:r>
        <w:rPr>
          <w:rFonts w:ascii="黑体" w:hAnsi="黑体" w:eastAsia="黑体" w:hint="eastAsia"/>
          <w:sz w:val="28"/>
          <w:szCs w:val="28"/>
        </w:rPr>
        <w:t>五、总承包管理及试运行服务费</w:t>
      </w:r>
      <w:r>
        <w:rPr>
          <w:rFonts w:ascii="黑体" w:hAnsi="黑体" w:eastAsia="黑体"/>
          <w:sz w:val="28"/>
          <w:szCs w:val="28"/>
        </w:rPr>
      </w:r>
    </w:p>
    <w:tbl>
      <w:tblPr>
        <w:jc w:val="center"/>
        <w:tblW w:w="8472" w:type="dxa"/>
      </w:tblPr>
      <w:tblGrid>
        <w:gridCol w:w="943"/>
        <w:gridCol w:w="1805"/>
        <w:gridCol w:w="2995"/>
        <w:gridCol w:w="1268"/>
        <w:gridCol w:w="1461"/>
      </w:tblGrid>
      <w:tr>
        <w:trPr>
          <w:trHeight w:val="618" w:hRule="atLeast"/>
        </w:trPr>
        <w:tc>
          <w:tcPr>
            <w:tcW w:w="9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序号</w:t>
            </w: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项目名称</w:t>
            </w: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计算方法</w:t>
            </w:r>
            <w:r>
              <w:rPr>
                <w:b/>
                <w:szCs w:val="21"/>
              </w:rPr>
            </w:r>
          </w:p>
        </w:tc>
        <w:tc>
          <w:tcPr>
            <w:tcW w:w="1268"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金额</w:t>
            </w:r>
            <w:r>
              <w:rPr>
                <w:b/>
                <w:szCs w:val="21"/>
              </w:rPr>
            </w:r>
          </w:p>
        </w:tc>
        <w:tc>
          <w:tcPr>
            <w:tcW w:w="1461"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备注</w:t>
            </w:r>
            <w:r>
              <w:rPr>
                <w:b/>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（一）</w:t>
            </w: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总承包管理费</w:t>
            </w: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工程费用×总承包管理费费率</w:t>
            </w: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b/>
                <w:szCs w:val="21"/>
              </w:rPr>
            </w:pPr>
            <w:r>
              <w:rPr>
                <w:rFonts w:ascii="宋体" w:hAnsi="宋体" w:cs="宋体"/>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b/>
                <w:szCs w:val="21"/>
              </w:rPr>
            </w:pPr>
            <w:r>
              <w:rPr>
                <w:rFonts w:ascii="宋体" w:hAnsi="宋体" w:cs="宋体"/>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b/>
                <w:szCs w:val="21"/>
              </w:rPr>
            </w:pPr>
            <w:r>
              <w:rPr>
                <w:rFonts w:ascii="宋体" w:hAnsi="宋体" w:cs="宋体"/>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b/>
                <w:szCs w:val="21"/>
              </w:rPr>
            </w:pPr>
            <w:r>
              <w:rPr>
                <w:rFonts w:ascii="宋体" w:hAnsi="宋体" w:cs="宋体"/>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（二）</w:t>
            </w: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rFonts w:ascii="宋体" w:hAnsi="宋体" w:cs="宋体" w:hint="eastAsia"/>
                <w:b/>
                <w:szCs w:val="21"/>
              </w:rPr>
              <w:t>试运行服务费</w:t>
            </w: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t>工程费用×试运行服务费费率</w:t>
            </w: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r>
        <w:trPr>
          <w:trHeight w:val="618" w:hRule="atLeast"/>
        </w:trPr>
        <w:tc>
          <w:tcPr>
            <w:tcW w:w="943" w:type="dxa"/>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80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b/>
                <w:szCs w:val="21"/>
              </w:rPr>
            </w:pPr>
            <w:r>
              <w:rPr>
                <w:b/>
                <w:szCs w:val="21"/>
              </w:rPr>
              <w:t>合计费用</w:t>
            </w:r>
            <w:r>
              <w:rPr>
                <w:b/>
                <w:szCs w:val="21"/>
              </w:rPr>
            </w:r>
          </w:p>
        </w:tc>
        <w:tc>
          <w:tcPr>
            <w:tcW w:w="2995" w:type="dxa"/>
            <w:vAlign w:val="center"/>
            <w:tcMar>
              <w:top w:w="0" w:type="dxa"/>
              <w:left w:w="108" w:type="dxa"/>
              <w:bottom w:w="0" w:type="dxa"/>
              <w:right w:w="108" w:type="dxa"/>
            </w:tcMar>
            <w:tcBorders>
              <w:top w:val="single" w:sz="4" w:space="0" w:color="000000"/>
              <w:left w:val="none" w:sz="0" w:space="0" w:color="000000"/>
              <w:bottom w:val="single" w:sz="4" w:space="0" w:color="000000"/>
              <w:right w:val="single" w:sz="4" w:space="0" w:color="000000"/>
            </w:tcBorders>
          </w:tcPr>
          <w:p>
            <w:pPr>
              <w:spacing/>
              <w:jc w:val="center"/>
              <w:widowControl/>
              <w:rPr>
                <w:szCs w:val="21"/>
              </w:rPr>
            </w:pPr>
            <w:r>
              <w:rPr>
                <w:szCs w:val="21"/>
              </w:rPr>
            </w:r>
          </w:p>
        </w:tc>
        <w:tc>
          <w:tcPr>
            <w:tcW w:w="1268"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c>
          <w:tcPr>
            <w:tcW w:w="1461" w:type="dxa"/>
            <w:vAlign w:val="center"/>
            <w:tcMar>
              <w:top w:w="0" w:type="dxa"/>
              <w:left w:w="108" w:type="dxa"/>
              <w:bottom w:w="0" w:type="dxa"/>
              <w:right w:w="108" w:type="dxa"/>
            </w:tcMar>
            <w:tcBorders>
              <w:top w:val="none" w:sz="0" w:space="0" w:color="000000"/>
              <w:left w:val="none" w:sz="0" w:space="0" w:color="000000"/>
              <w:bottom w:val="single" w:sz="4" w:space="0" w:color="000000"/>
              <w:right w:val="single" w:sz="4" w:space="0" w:color="000000"/>
            </w:tcBorders>
          </w:tcPr>
          <w:p>
            <w:pPr>
              <w:spacing/>
              <w:jc w:val="right"/>
              <w:widowControl/>
              <w:rPr>
                <w:szCs w:val="21"/>
              </w:rPr>
            </w:pPr>
            <w:r>
              <w:rPr>
                <w:szCs w:val="21"/>
              </w:rPr>
            </w:r>
          </w:p>
        </w:tc>
      </w:tr>
    </w:tbl>
    <w:p>
      <w:r/>
    </w:p>
    <w:p>
      <w:r/>
    </w:p>
    <w:p>
      <w:r/>
    </w:p>
    <w:p>
      <w:r/>
    </w:p>
    <w:p>
      <w:r/>
    </w:p>
    <w:p>
      <w:r/>
    </w:p>
    <w:p>
      <w:r/>
    </w:p>
    <w:p>
      <w:r/>
    </w:p>
    <w:p>
      <w:r/>
    </w:p>
    <w:p>
      <w:r/>
    </w:p>
    <w:p>
      <w:r/>
    </w:p>
    <w:p>
      <w:r/>
    </w:p>
    <w:p>
      <w:r/>
    </w:p>
    <w:p>
      <w:r/>
    </w:p>
    <w:p>
      <w:r/>
    </w:p>
    <w:p>
      <w:r/>
    </w:p>
    <w:p>
      <w:r/>
    </w:p>
    <w:p>
      <w:r/>
    </w:p>
    <w:p>
      <w:r/>
    </w:p>
    <w:p>
      <w:r/>
    </w:p>
    <w:p>
      <w:pPr>
        <w:ind w:firstLine="480"/>
        <w:spacing w:line="360" w:lineRule="auto"/>
        <w:rPr>
          <w:rFonts w:ascii="黑体" w:hAnsi="黑体" w:eastAsia="黑体"/>
          <w:sz w:val="28"/>
          <w:szCs w:val="28"/>
        </w:rPr>
      </w:pPr>
      <w:r>
        <w:rPr>
          <w:rFonts w:ascii="黑体" w:hAnsi="黑体" w:eastAsia="黑体" w:hint="eastAsia"/>
          <w:sz w:val="28"/>
          <w:szCs w:val="28"/>
        </w:rPr>
        <w:t>六、不可预见费</w:t>
      </w:r>
      <w:r>
        <w:rPr>
          <w:rFonts w:ascii="黑体" w:hAnsi="黑体" w:eastAsia="黑体"/>
          <w:sz w:val="28"/>
          <w:szCs w:val="28"/>
        </w:rPr>
      </w:r>
    </w:p>
    <w:tbl>
      <w:tblPr>
        <w:jc w:val="center"/>
        <w:tblW w:w="8702" w:type="dxa"/>
      </w:tblPr>
      <w:tblGrid>
        <w:gridCol w:w="757"/>
        <w:gridCol w:w="1969"/>
        <w:gridCol w:w="2971"/>
        <w:gridCol w:w="1258"/>
        <w:gridCol w:w="1747"/>
      </w:tblGrid>
      <w:tr>
        <w:trPr>
          <w:trHeight w:val="587" w:hRule="atLeast"/>
        </w:trPr>
        <w:tc>
          <w:tcPr>
            <w:tcW w:w="75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序号</w:t>
            </w:r>
            <w:r>
              <w:rPr>
                <w:b/>
                <w:szCs w:val="21"/>
              </w:rPr>
            </w:r>
          </w:p>
        </w:tc>
        <w:tc>
          <w:tcPr>
            <w:tcW w:w="196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项目名称</w:t>
            </w:r>
            <w:r>
              <w:rPr>
                <w:b/>
                <w:szCs w:val="21"/>
              </w:rPr>
            </w:r>
          </w:p>
        </w:tc>
        <w:tc>
          <w:tcPr>
            <w:tcW w:w="29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计算方法</w:t>
            </w:r>
            <w:r>
              <w:rPr>
                <w:b/>
                <w:szCs w:val="21"/>
              </w:rPr>
            </w:r>
          </w:p>
        </w:tc>
        <w:tc>
          <w:tcPr>
            <w:tcW w:w="125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金额（元）</w:t>
            </w:r>
            <w:r>
              <w:rPr>
                <w:b/>
                <w:szCs w:val="21"/>
              </w:rPr>
            </w:r>
          </w:p>
        </w:tc>
        <w:tc>
          <w:tcPr>
            <w:tcW w:w="17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备注</w:t>
            </w:r>
            <w:r>
              <w:rPr>
                <w:b/>
                <w:szCs w:val="21"/>
              </w:rPr>
            </w:r>
          </w:p>
        </w:tc>
      </w:tr>
      <w:tr>
        <w:trPr>
          <w:trHeight w:val="587" w:hRule="atLeast"/>
        </w:trPr>
        <w:tc>
          <w:tcPr>
            <w:tcW w:w="75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五</w:t>
            </w:r>
            <w:r>
              <w:rPr>
                <w:b/>
                <w:szCs w:val="21"/>
              </w:rPr>
            </w:r>
          </w:p>
        </w:tc>
        <w:tc>
          <w:tcPr>
            <w:tcW w:w="196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t>不可预见费</w:t>
            </w:r>
            <w:r>
              <w:rPr>
                <w:b/>
                <w:szCs w:val="21"/>
              </w:rPr>
            </w:r>
          </w:p>
        </w:tc>
        <w:tc>
          <w:tcPr>
            <w:tcW w:w="29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t>工程费用×不可预见费费率</w:t>
            </w:r>
            <w:r>
              <w:rPr>
                <w:szCs w:val="21"/>
              </w:rPr>
            </w:r>
          </w:p>
        </w:tc>
        <w:tc>
          <w:tcPr>
            <w:tcW w:w="125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c>
          <w:tcPr>
            <w:tcW w:w="17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r>
      <w:tr>
        <w:trPr>
          <w:trHeight w:val="587" w:hRule="atLeast"/>
        </w:trPr>
        <w:tc>
          <w:tcPr>
            <w:tcW w:w="75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96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29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25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c>
          <w:tcPr>
            <w:tcW w:w="17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r>
      <w:tr>
        <w:trPr>
          <w:trHeight w:val="587" w:hRule="atLeast"/>
        </w:trPr>
        <w:tc>
          <w:tcPr>
            <w:tcW w:w="75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196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b/>
                <w:szCs w:val="21"/>
              </w:rPr>
            </w:pPr>
            <w:r>
              <w:rPr>
                <w:b/>
                <w:szCs w:val="21"/>
              </w:rPr>
            </w:r>
          </w:p>
        </w:tc>
        <w:tc>
          <w:tcPr>
            <w:tcW w:w="29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25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c>
          <w:tcPr>
            <w:tcW w:w="17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r>
      <w:tr>
        <w:trPr>
          <w:trHeight w:val="587" w:hRule="atLeast"/>
        </w:trPr>
        <w:tc>
          <w:tcPr>
            <w:tcW w:w="75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96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25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c>
          <w:tcPr>
            <w:tcW w:w="17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r>
      <w:tr>
        <w:trPr>
          <w:trHeight w:val="587" w:hRule="atLeast"/>
        </w:trPr>
        <w:tc>
          <w:tcPr>
            <w:tcW w:w="75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96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29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szCs w:val="21"/>
              </w:rPr>
            </w:pPr>
            <w:r>
              <w:rPr>
                <w:szCs w:val="21"/>
              </w:rPr>
            </w:r>
          </w:p>
        </w:tc>
        <w:tc>
          <w:tcPr>
            <w:tcW w:w="125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c>
          <w:tcPr>
            <w:tcW w:w="17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right"/>
              <w:widowControl/>
              <w:rPr>
                <w:szCs w:val="21"/>
              </w:rPr>
            </w:pPr>
            <w:r>
              <w:rPr>
                <w:szCs w:val="21"/>
              </w:rPr>
            </w:r>
          </w:p>
        </w:tc>
      </w:tr>
    </w:tbl>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spacing/>
        <w:jc w:val="left"/>
        <w:rPr>
          <w:sz w:val="28"/>
          <w:szCs w:val="28"/>
        </w:rPr>
      </w:pPr>
      <w:r>
        <w:rPr>
          <w:sz w:val="28"/>
          <w:szCs w:val="28"/>
        </w:rPr>
      </w:r>
    </w:p>
    <w:p>
      <w:pPr>
        <w:ind w:firstLine="210"/>
        <w:spacing w:line="560" w:lineRule="exact"/>
        <w:rPr>
          <w:rPrChange w:id="1" w:author="操丽君" w:date="2017-12-11T09:20:00Z">
            <w:rPr>
              <w:rFonts w:eastAsia="仿宋_GB2312" w:hint="eastAsia"/>
              <w:sz w:val="32"/>
              <w:szCs w:val="32"/>
            </w:rPr>
          </w:rPrChange>
        </w:rPr>
      </w:pPr>
      <w:r>
        <w:rPr>
          <w:noProof/>
        </w:rPr>
        <mc:AlternateContent>
          <mc:Choice Requires="wps">
            <w:drawing>
              <wp:anchor distT="0" distB="0" distL="114300" distR="114300" simplePos="0" relativeHeight="251658241" behindDoc="0" locked="0" layoutInCell="0" hidden="0" allowOverlap="1">
                <wp:simplePos x="0" y="0"/>
                <wp:positionH relativeFrom="column">
                  <wp:posOffset>0</wp:posOffset>
                </wp:positionH>
                <wp:positionV relativeFrom="paragraph">
                  <wp:posOffset>394335</wp:posOffset>
                </wp:positionV>
                <wp:extent cx="5715000" cy="0"/>
                <wp:effectExtent l="9525" t="9525" r="9525" b="9525"/>
                <wp:wrapNone/>
                <wp:docPr id="1" name="线条1"/>
                <wp:cNvGraphicFramePr/>
                <a:graphic xmlns:a="http://schemas.openxmlformats.org/drawingml/2006/main">
                  <a:graphicData uri="http://schemas.microsoft.com/office/word/2010/wordprocessingShape">
                    <wps:wsp>
                      <wps:cNvSpPr>
                        <a:extLst>
                          <a:ext uri="smNativeData">
                            <sm:smNativeData xmlns:sm="smo" val="SMDATA_11_AU8uWhMAAAAlAAAAC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mQAAAAiAAAAAAAAAAAAAAAAAAAACAAAAAAAAAAAAAAACAAAAbQIAACgjAAAAAAAADAAAAAUHAABaOwAA"/>
                          </a:ext>
                        </a:extLst>
                      </wps:cNvSpPr>
                      <wps:spPr>
                        <a:xfrm>
                          <a:off x="0" y="0"/>
                          <a:ext cx="5715000" cy="0"/>
                        </a:xfrm>
                        <a:prstGeom prst="line">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line id="线条1" o:spid="_x0000_s1026" style="position:absolute;width:450.00pt;height:0.00pt;mso-wrap-distance-left:9.00pt;mso-wrap-distance-top:0.00pt;mso-wrap-distance-right:9.00pt;mso-wrap-distance-bottom:0.00pt;mso-wrap-style:square" from="0.00pt,31.05pt" to="450.00pt,31.05pt" strokeweight="0.75pt" fillcolor="#ffffff" v:ext="SMDATA_11_AU8uWhMAAAAlAAAAC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mQAAAAiAAAAAAAAAAAAAAAAAAAACAAAAAAAAAAAAAAACAAAAbQIAACgjAAAAAAAADAAAAAUHAABaOwAA">
                <v:fill color2="#000000" type="solid" angle="180"/>
                <w10:wrap type="none" anchorx="text" anchory="text"/>
              </v:line>
            </w:pict>
          </mc:Fallback>
        </mc:AlternateContent>
      </w:r>
      <w:r>
        <w:rPr>
          <w:noProof/>
        </w:rPr>
        <mc:AlternateContent>
          <mc:Choice Requires="wps">
            <w:drawing>
              <wp:anchor distT="0" distB="0" distL="114300" distR="114300" simplePos="0" relativeHeight="251658242" behindDoc="0" locked="0" layoutInCell="0" hidden="0" allowOverlap="1">
                <wp:simplePos x="0" y="0"/>
                <wp:positionH relativeFrom="column">
                  <wp:posOffset>0</wp:posOffset>
                </wp:positionH>
                <wp:positionV relativeFrom="paragraph">
                  <wp:posOffset>40640</wp:posOffset>
                </wp:positionV>
                <wp:extent cx="5715000" cy="0"/>
                <wp:effectExtent l="9525" t="9525" r="9525" b="9525"/>
                <wp:wrapNone/>
                <wp:docPr id="2" name="线条2"/>
                <wp:cNvGraphicFramePr/>
                <a:graphic xmlns:a="http://schemas.openxmlformats.org/drawingml/2006/main">
                  <a:graphicData uri="http://schemas.microsoft.com/office/word/2010/wordprocessingShape">
                    <wps:wsp>
                      <wps:cNvSpPr>
                        <a:extLst>
                          <a:ext uri="smNativeData">
                            <sm:smNativeData xmlns:sm="smo" val="SMDATA_11_AU8uWhMAAAAlAAAAC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mQAAAAiAAAAAAAAAAAAAAAAAAAACAAAAAAAAAAAAAAACAAAAQAAAACgjAAAAAAAADAAAAAUHAAAtOQAA"/>
                          </a:ext>
                        </a:extLst>
                      </wps:cNvSpPr>
                      <wps:spPr>
                        <a:xfrm>
                          <a:off x="0" y="0"/>
                          <a:ext cx="5715000" cy="0"/>
                        </a:xfrm>
                        <a:prstGeom prst="line">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line id="线条2" o:spid="_x0000_s1027" style="position:absolute;width:450.00pt;height:0.00pt;mso-wrap-distance-left:9.00pt;mso-wrap-distance-top:0.00pt;mso-wrap-distance-right:9.00pt;mso-wrap-distance-bottom:0.00pt;mso-wrap-style:square" from="0.00pt,3.20pt" to="450.00pt,3.20pt" strokeweight="0.75pt" fillcolor="#ffffff" v:ext="SMDATA_11_AU8uWhMAAAAlAAAAC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mQAAAAiAAAAAAAAAAAAAAAAAAAACAAAAAAAAAAAAAAACAAAAQAAAACgjAAAAAAAADAAAAAUHAAAtOQAA">
                <v:fill color2="#000000" type="solid" angle="180"/>
                <w10:wrap type="none" anchorx="text" anchory="text"/>
              </v:line>
            </w:pict>
          </mc:Fallback>
        </mc:AlternateContent>
      </w:r>
      <w:r>
        <w:rPr>
          <w:rFonts w:ascii="仿宋_GB2312" w:hAnsi="仿宋_GB2312" w:eastAsia="仿宋_GB2312" w:hint="eastAsia"/>
          <w:sz w:val="28"/>
          <w:szCs w:val="28"/>
        </w:rPr>
        <w:t>浙江省住房和城乡建设厅办公室              2017年12月11印发</w:t>
      </w:r>
      <w:r>
        <w:rPr>
          <w:rPrChange w:id="2" w:author="操丽君" w:date="2017-12-11T09:20:00Z">
            <w:rPr>
              <w:rFonts w:eastAsia="仿宋_GB2312" w:hint="eastAsia"/>
              <w:sz w:val="32"/>
              <w:szCs w:val="32"/>
            </w:rPr>
          </w:rPrChange>
        </w:rPr>
      </w:r>
    </w:p>
    <w:sectPr>
      <w:footnotePr>
        <w:pos w:val="pageBottom"/>
        <w:numFmt w:val="decimal"/>
        <w:numStart w:val="1"/>
        <w:numRestart w:val="continuous"/>
      </w:footnotePr>
      <w:endnotePr>
        <w:pos w:val="docEnd"/>
        <w:numFmt w:val="decimal"/>
        <w:numStart w:val="1"/>
        <w:numRestart w:val="continuous"/>
      </w:endnotePr>
      <w:headerReference w:type="default" r:id="rId12"/>
      <w:footerReference w:type="default" r:id="rId13"/>
      <w:type w:val="nextPage"/>
      <w:pgSz w:h="16838" w:w="11906"/>
      <w:pgMar w:left="1797" w:top="2268" w:right="1247" w:bottom="1701"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仿宋_GB2312">
    <w:panose1 w:val="02010609030101010101"/>
    <w:charset w:val="86"/>
    <w:family w:val="modern"/>
    <w:pitch w:val="default"/>
  </w:font>
  <w:font w:name="宋体">
    <w:panose1 w:val="02010600030101010101"/>
    <w:charset w:val="86"/>
    <w:family w:val="auto"/>
    <w:pitch w:val="default"/>
  </w:font>
  <w:font w:name="Wingdings">
    <w:panose1 w:val="05000000000000000000"/>
    <w:charset w:val="02"/>
    <w:family w:val="auto"/>
    <w:pitch w:val="default"/>
  </w:font>
  <w:font w:name="Courier New">
    <w:panose1 w:val="02070309020205020404"/>
    <w:charset w:val="00"/>
    <w:family w:val="modern"/>
    <w:pitch w:val="default"/>
  </w:font>
  <w:font w:name="华文中宋">
    <w:panose1 w:val="02010600040101010101"/>
    <w:charset w:val="86"/>
    <w:family w:val="auto"/>
    <w:pitch w:val="default"/>
  </w:font>
  <w:font w:name="方正小标宋_GBK">
    <w:panose1 w:val="03000509000000000000"/>
    <w:charset w:val="86"/>
    <w:family w:val="script"/>
    <w:pitch w:val="default"/>
  </w:font>
  <w:font w:name="黑体">
    <w:panose1 w:val="02010609060101010101"/>
    <w:charset w:val="86"/>
    <w:family w:val="modern"/>
    <w:pitch w:val="default"/>
  </w:font>
  <w:font w:name="楷体_GB2312">
    <w:panose1 w:val="02010609030101010101"/>
    <w:charset w:val="86"/>
    <w:family w:val="modern"/>
    <w:pitch w:val="default"/>
  </w:font>
  <w:font w:name="Cambria">
    <w:panose1 w:val="02040503050406030204"/>
    <w:charset w:val="00"/>
    <w:family w:val="roman"/>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ind w:right="360" w:firstLine="360"/>
    </w:pPr>
    <w:r>
      <w:rPr>
        <w:noProof/>
      </w:rPr>
      <mc:AlternateContent>
        <mc:Choice Requires="wps">
          <w:drawing>
            <wp:anchor distT="0" distB="0" distL="0" distR="0" simplePos="0" relativeHeight="251659266" behindDoc="0" locked="0" layoutInCell="0" hidden="0" allowOverlap="1">
              <wp:simplePos x="0" y="0"/>
              <wp:positionH relativeFrom="margin">
                <wp:align>outside</wp:align>
              </wp:positionH>
              <wp:positionV relativeFrom="paragraph">
                <wp:posOffset>635</wp:posOffset>
              </wp:positionV>
              <wp:extent cx="114300" cy="202565"/>
              <wp:effectExtent l="0" t="0" r="0" b="0"/>
              <wp:wrapSquare wrapText="bothSides"/>
              <wp:docPr id="1026" name="文本框2"/>
              <wp:cNvGraphicFramePr/>
              <a:graphic xmlns:a="http://schemas.openxmlformats.org/drawingml/2006/main">
                <a:graphicData uri="http://schemas.microsoft.com/office/word/2010/wordprocessingShape">
                  <wps:wsp>
                    <wps:cNvSpPr txBox="1">
                      <a:extLst>
                        <a:ext uri="smNativeData">
                          <sm:smNativeData xmlns:sm="smo" val="SMDATA_11_AU8u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eIgAARTIAAAACAAAJAAAABAAAAAAAAAAMAAAAEAAAAAAAAAAAAAAAAAAAAAAAAAAeAAAAaAAAAAAAAAAAAAAAAAAAAAAAAAAAAAAAECcAABAnAAAAAAAAAAAAAAAAAAAAAAAAAAAAAAAAAAAAAAAAAAAAABQAAAAAAAAAwMD/AAAAAABkAAAAMgAAAAAAAABkAAAAAAAAAH9/fwAKAAAAIQAAAEAAAAA8AAAAAAAAAJCiAABAAAAAAAAAAAUAAAABAAAAAAAAAAEAAAACAAAAAQAAALQAAAA/AQAAAAAAAO8oAAAYPQAA"/>
                        </a:ext>
                      </a:extLst>
                    </wps:cNvSpPr>
                    <wps:spPr>
                      <a:xfrm>
                        <a:off x="0" y="0"/>
                        <a:ext cx="114300" cy="202565"/>
                      </a:xfrm>
                      <a:prstGeom prst="rect">
                        <a:avLst/>
                      </a:prstGeom>
                      <a:noFill/>
                      <a:ln w="12700">
                        <a:noFill/>
                      </a:ln>
                    </wps:spPr>
                    <wps:txbx>
                      <w:txbxContent>
                        <w:p>
                          <w:pPr>
                            <w:pStyle w:val=""/>
                            <w:rPr>
                              <w:rStyle w:val=""/>
                              <w:rFonts w:ascii="仿宋_GB2312" w:hAnsi="仿宋_GB2312" w:eastAsia="仿宋_GB2312" w:hint="eastAsia"/>
                              <w:sz w:val="28"/>
                              <w:szCs w:val="28"/>
                            </w:rPr>
                          </w:pPr>
                          <w:r>
                            <w:rPr>
                              <w:rStyle w:val=""/>
                              <w:rFonts w:ascii="仿宋_GB2312" w:hAnsi="仿宋_GB2312" w:eastAsia="仿宋_GB2312" w:hint="eastAsia"/>
                              <w:sz w:val="28"/>
                              <w:szCs w:val="2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2" o:spid="_x0000_s3073" type="#_x0000_t202" style="position:absolute;mso-position-horizontal:outside;margin-top:0.05pt;mso-position-horizontal-relative:margin;width:9.00pt;height:15.95pt;mso-wrap-distance-left:0.00pt;mso-wrap-distance-top:0.00pt;mso-wrap-distance-right:0.00pt;mso-wrap-distance-bottom:0.00pt;mso-wrap-style:none" stroked="f" filled="f" v:ext="SMDATA_11_AU8u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eIgAARTIAAAACAAAJAAAABAAAAAAAAAAMAAAAEAAAAAAAAAAAAAAAAAAAAAAAAAAeAAAAaAAAAAAAAAAAAAAAAAAAAAAAAAAAAAAAECcAABAnAAAAAAAAAAAAAAAAAAAAAAAAAAAAAAAAAAAAAAAAAAAAABQAAAAAAAAAwMD/AAAAAABkAAAAMgAAAAAAAABkAAAAAAAAAH9/fwAKAAAAIQAAAEAAAAA8AAAAAAAAAJCiAABAAAAAAAAAAAUAAAABAAAAAAAAAAEAAAACAAAAAQAAALQAAAA/AQAAAAAAAO8oAAAYPQAA" o:insetmode="custom">
              <w10:wrap type="square" anchorx="margin" anchory="text"/>
              <v:textbox style="mso-fit-shape-to-text:t" inset="0.0pt,0.0pt,0.0pt,0.0pt">
                <w:txbxContent>
                  <w:p>
                    <w:pPr>
                      <w:pStyle w:val=""/>
                      <w:rPr>
                        <w:rStyle w:val=""/>
                        <w:rFonts w:ascii="仿宋_GB2312" w:hAnsi="仿宋_GB2312" w:eastAsia="仿宋_GB2312" w:hint="eastAsia"/>
                        <w:sz w:val="28"/>
                        <w:szCs w:val="28"/>
                      </w:rPr>
                    </w:pPr>
                    <w:r>
                      <w:rPr>
                        <w:rStyle w:val=""/>
                        <w:rFonts w:ascii="仿宋_GB2312" w:hAnsi="仿宋_GB2312" w:eastAsia="仿宋_GB2312" w:hint="eastAsia"/>
                        <w:sz w:val="28"/>
                        <w:szCs w:val="28"/>
                      </w:rPr>
                    </w:r>
                  </w:p>
                </w:txbxContent>
              </v:textbox>
            </v:shape>
          </w:pict>
        </mc:Fallback>
      </mc:AlternateContent>
    </w:r>
    <w:r>
      <w:rPr>
        <w:rStyle w:val=""/>
        <w:rFonts w:ascii="仿宋_GB2312" w:hAnsi="仿宋_GB2312" w:eastAsia="仿宋_GB2312" w:hint="eastAsia"/>
        <w:sz w:val="28"/>
        <w:szCs w:val="28"/>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Bullet 1"/>
    <w:lvl w:ilvl="0">
      <w:start w:val="1"/>
      <w:numFmt w:val="decimal"/>
      <w:lvlText w:val="%1"/>
      <w:lvlJc w:val="left"/>
      <w:pPr>
        <w:tabs>
          <w:tab w:val="num" w:pos="0"/>
        </w:tabs>
        <w:ind w:left="0" w:hanging="0"/>
      </w:pPr>
      <w:rPr>
        <w:rPr>
          <w:rFonts w:eastAsia="仿宋_GB2312" w:hint="eastAsia"/>
          <w:sz w:val="28"/>
        </w:rPr>
      </w:rPr>
    </w:lvl>
  </w:abstractNum>
  <w:abstractNum w:abstractNumId="2">
    <w:multiLevelType w:val="singleLevel"/>
    <w:name w:val="Bullet 2"/>
    <w:lvl w:ilvl="0">
      <w:start w:val="1"/>
      <w:numFmt w:val="japaneseCounting"/>
      <w:lvlText w:val="%1"/>
      <w:lvlJc w:val="left"/>
      <w:pPr>
        <w:tabs>
          <w:tab w:val="num" w:pos="0"/>
        </w:tabs>
        <w:ind w:left="0" w:hanging="0"/>
      </w:pPr>
      <w:rPr/>
    </w:lvl>
  </w:abstractNum>
  <w:abstractNum w:abstractNumId="3">
    <w:multiLevelType w:val="singleLevel"/>
    <w:name w:val="Bullet 3"/>
    <w:lvl w:ilvl="0">
      <w:start w:val="1"/>
      <w:numFmt w:val="decimal"/>
      <w:lvlText w:val="%1"/>
      <w:lvlJc w:val="left"/>
      <w:pPr>
        <w:tabs>
          <w:tab w:val="num" w:pos="0"/>
        </w:tabs>
        <w:ind w:left="0" w:hanging="0"/>
      </w:pPr>
      <w:rPr/>
    </w:lvl>
  </w:abstractNum>
  <w:abstractNum w:abstractNumId="4">
    <w:multiLevelType w:val="singleLevel"/>
    <w:name w:val="Bullet 4"/>
    <w:lvl w:ilvl="0">
      <w:start w:val="1"/>
      <w:numFmt w:val="lowerLetter"/>
      <w:lvlText w:val="%1"/>
      <w:lvlJc w:val="left"/>
      <w:pPr>
        <w:tabs>
          <w:tab w:val="num" w:pos="0"/>
        </w:tabs>
        <w:ind w:left="0" w:hanging="0"/>
      </w:pPr>
      <w:rPr/>
    </w:lvl>
  </w:abstractNum>
  <w:abstractNum w:abstractNumId="5">
    <w:multiLevelType w:val="singleLevel"/>
    <w:name w:val="Bullet 5"/>
    <w:lvl w:ilvl="0">
      <w:start w:val="1"/>
      <w:numFmt w:val="lowerRoman"/>
      <w:lvlText w:val="%1"/>
      <w:lvlJc w:val="left"/>
      <w:pPr>
        <w:tabs>
          <w:tab w:val="num" w:pos="0"/>
        </w:tabs>
        <w:ind w:left="0" w:hanging="0"/>
      </w:pPr>
      <w:rPr/>
    </w:lvl>
  </w:abstractNum>
  <w:abstractNum w:abstractNumId="6">
    <w:multiLevelType w:val="singleLevel"/>
    <w:name w:val="Bullet 6"/>
    <w:lvl w:ilvl="0">
      <w:start w:val="4"/>
      <w:numFmt w:val="japaneseCounting"/>
      <w:lvlText w:val="%1"/>
      <w:lvlJc w:val="left"/>
      <w:pPr>
        <w:tabs>
          <w:tab w:val="num" w:pos="0"/>
        </w:tabs>
        <w:ind w:left="0" w:hanging="0"/>
      </w:pPr>
      <w:rPr/>
    </w:lvl>
  </w:abstractNum>
  <w:abstractNum w:abstractNumId="7">
    <w:multiLevelType w:val="singleLevel"/>
    <w:name w:val="Bullet 7"/>
    <w:lvl w:ilvl="0">
      <w:start w:val="2"/>
      <w:numFmt w:val="decimal"/>
      <w:lvlText w:val="%1"/>
      <w:lvlJc w:val="left"/>
      <w:pPr>
        <w:tabs>
          <w:tab w:val="num" w:pos="0"/>
        </w:tabs>
        <w:ind w:left="0" w:hanging="0"/>
      </w:pPr>
      <w:rPr/>
    </w:lvl>
  </w:abstractNum>
  <w:abstractNum w:abstractNumId="8">
    <w:multiLevelType w:val="singleLevel"/>
    <w:name w:val="Bullet 8"/>
    <w:lvl w:ilvl="0">
      <w:start w:val="1"/>
      <w:numFmt w:val="japaneseCounting"/>
      <w:lvlText w:val="%1"/>
      <w:lvlJc w:val="left"/>
      <w:pPr>
        <w:tabs>
          <w:tab w:val="num" w:pos="0"/>
        </w:tabs>
        <w:ind w:left="0" w:hanging="0"/>
      </w:pPr>
      <w:rPr/>
    </w:lvl>
  </w:abstractNum>
  <w:abstractNum w:abstractNumId="9">
    <w:multiLevelType w:val="singleLevel"/>
    <w:name w:val="Bullet 9"/>
    <w:lvl w:ilvl="0">
      <w:start w:val="10"/>
      <w:numFmt w:val="japaneseCounting"/>
      <w:lvlText w:val="%1"/>
      <w:lvlJc w:val="left"/>
      <w:pPr>
        <w:tabs>
          <w:tab w:val="num" w:pos="0"/>
        </w:tabs>
        <w:ind w:left="0" w:hanging="0"/>
      </w:pPr>
      <w:rPr/>
    </w:lvl>
  </w:abstractNum>
  <w:abstractNum w:abstractNumId="10">
    <w:multiLevelType w:val="singleLevel"/>
    <w:name w:val="Bullet 10"/>
    <w:lvl w:ilvl="0">
      <w:start w:val="1"/>
      <w:numFmt w:val="decimal"/>
      <w:lvlText w:val="%1"/>
      <w:lvlJc w:val="left"/>
      <w:pPr>
        <w:tabs>
          <w:tab w:val="num" w:pos="0"/>
        </w:tabs>
        <w:ind w:left="0" w:hanging="0"/>
      </w:pPr>
      <w:rPr/>
    </w:lvl>
  </w:abstractNum>
  <w:abstractNum w:abstractNumId="11">
    <w:multiLevelType w:val="singleLevel"/>
    <w:name w:val="Bullet 11"/>
    <w:lvl w:ilvl="0">
      <w:start w:val="5"/>
      <w:numFmt w:val="japaneseCounting"/>
      <w:lvlText w:val="%1"/>
      <w:lvlJc w:val="left"/>
      <w:pPr>
        <w:tabs>
          <w:tab w:val="num" w:pos="0"/>
        </w:tabs>
        <w:ind w:left="0" w:hanging="0"/>
      </w:pPr>
      <w:rPr/>
    </w:lvl>
  </w:abstractNum>
  <w:abstractNum w:abstractNumId="12">
    <w:multiLevelType w:val="singleLevel"/>
    <w:name w:val="Bullet 12"/>
    <w:lvl w:ilvl="0">
      <w:numFmt w:val="bullet"/>
      <w:lvlText w:val="★"/>
      <w:lvlJc w:val="left"/>
      <w:pPr>
        <w:tabs>
          <w:tab w:val="num" w:pos="0"/>
        </w:tabs>
        <w:ind w:left="0" w:hanging="0"/>
      </w:pPr>
      <w:rPr>
        <w:rPr>
          <w:rFonts w:ascii="宋体" w:hAnsi="宋体" w:eastAsia="宋体" w:cs="Times New Roman" w:hint="eastAsia"/>
        </w:rPr>
      </w:rPr>
    </w:lvl>
  </w:abstractNum>
  <w:abstractNum w:abstractNumId="13">
    <w:multiLevelType w:val="singleLevel"/>
    <w:name w:val="Bullet 13"/>
    <w:lvl w:ilvl="0">
      <w:numFmt w:val="bullet"/>
      <w:lvlText w:val=""/>
      <w:lvlJc w:val="left"/>
      <w:pPr>
        <w:tabs>
          <w:tab w:val="num" w:pos="0"/>
        </w:tabs>
        <w:ind w:left="0" w:hanging="0"/>
      </w:pPr>
      <w:rPr>
        <w:rPr>
          <w:rFonts w:ascii="Wingdings" w:hAnsi="Wingdings"/>
        </w:rPr>
      </w:rPr>
    </w:lvl>
  </w:abstractNum>
  <w:abstractNum w:abstractNumId="14">
    <w:multiLevelType w:val="singleLevel"/>
    <w:name w:val="Bullet 14"/>
    <w:lvl w:ilvl="0">
      <w:numFmt w:val="bullet"/>
      <w:lvlText w:val=""/>
      <w:lvlJc w:val="left"/>
      <w:pPr>
        <w:tabs>
          <w:tab w:val="num" w:pos="0"/>
        </w:tabs>
        <w:ind w:left="0" w:hanging="0"/>
      </w:pPr>
      <w:rPr>
        <w:rPr>
          <w:rFonts w:ascii="Wingdings" w:hAnsi="Wingdings"/>
        </w:rPr>
      </w:rPr>
    </w:lvl>
  </w:abstractNum>
  <w:abstractNum w:abstractNumId="15">
    <w:multiLevelType w:val="singleLevel"/>
    <w:name w:val="Bullet 15"/>
    <w:lvl w:ilvl="0">
      <w:numFmt w:val="bullet"/>
      <w:lvlText w:val=""/>
      <w:lvlJc w:val="left"/>
      <w:pPr>
        <w:tabs>
          <w:tab w:val="num" w:pos="0"/>
        </w:tabs>
        <w:ind w:left="0" w:hanging="0"/>
      </w:pPr>
      <w:rPr>
        <w:rPr>
          <w:rFonts w:ascii="Wingdings" w:hAnsi="Wingdings"/>
        </w:rPr>
      </w:rPr>
    </w:lvl>
  </w:abstractNum>
  <w:abstractNum w:abstractNumId="16">
    <w:multiLevelType w:val="singleLevel"/>
    <w:name w:val="Bullet 16"/>
    <w:lvl w:ilvl="0">
      <w:start w:val="5"/>
      <w:numFmt w:val="japaneseCounting"/>
      <w:lvlText w:val="%1"/>
      <w:lvlJc w:val="left"/>
      <w:pPr>
        <w:tabs>
          <w:tab w:val="num" w:pos="0"/>
        </w:tabs>
        <w:ind w:left="0" w:hanging="0"/>
      </w:pPr>
      <w:rPr/>
    </w:lvl>
  </w:abstractNum>
  <w:abstractNum w:abstractNumId="17">
    <w:multiLevelType w:val="singleLevel"/>
    <w:name w:val="Bullet 17"/>
    <w:lvl w:ilvl="0">
      <w:start w:val="1"/>
      <w:numFmt w:val="decimal"/>
      <w:lvlText w:val="%1"/>
      <w:lvlJc w:val="left"/>
      <w:pPr>
        <w:tabs>
          <w:tab w:val="num" w:pos="0"/>
        </w:tabs>
        <w:ind w:left="0" w:hanging="0"/>
      </w:pPr>
      <w:rPr/>
    </w:lvl>
  </w:abstractNum>
  <w:abstractNum w:abstractNumId="18">
    <w:multiLevelType w:val="singleLevel"/>
    <w:name w:val="Bullet 18"/>
    <w:lvl w:ilvl="0">
      <w:start w:val="1"/>
      <w:numFmt w:val="japaneseCounting"/>
      <w:lvlText w:val="%1"/>
      <w:lvlJc w:val="left"/>
      <w:pPr>
        <w:tabs>
          <w:tab w:val="num" w:pos="0"/>
        </w:tabs>
        <w:ind w:left="0" w:hanging="0"/>
      </w:pPr>
      <w:rPr/>
    </w:lvl>
  </w:abstractNum>
  <w:abstractNum w:abstractNumId="19">
    <w:multiLevelType w:val="singleLevel"/>
    <w:name w:val="Bullet 19"/>
    <w:lvl w:ilvl="0">
      <w:start w:val="2"/>
      <w:numFmt w:val="japaneseCounting"/>
      <w:lvlText w:val="%1"/>
      <w:lvlJc w:val="left"/>
      <w:pPr>
        <w:tabs>
          <w:tab w:val="num" w:pos="0"/>
        </w:tabs>
        <w:ind w:left="0" w:hanging="0"/>
      </w:pPr>
      <w:rPr>
        <w:rPr>
          <w:b/>
        </w:rPr>
      </w:rPr>
    </w:lvl>
  </w:abstractNum>
  <w:abstractNum w:abstractNumId="20">
    <w:multiLevelType w:val="singleLevel"/>
    <w:name w:val="Bullet 20"/>
    <w:lvl w:ilvl="0">
      <w:start w:val="2"/>
      <w:numFmt w:val="japaneseCounting"/>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05"/>
  <w:drawingGridVerticalSpacing w:val="156"/>
  <w:revisionView w:comments="0"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3074"/>
    <o:shapelayout v:ext="edit">
      <o:rules v:ext="edit"/>
    </o:shapelayout>
  </w:shapeDefaults>
  <w:tmPrefOne w:val="17"/>
  <w:tmPrefTwo w:val="1025"/>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12"/>
    <w:tmLastPosSelect w:val="0"/>
    <w:tmLastPosFrameIdx w:val="0"/>
    <w:tmLastPosCaret>
      <w:tmLastPosPgfIdx w:val="150"/>
      <w:tmLastPosIdx w:val="0"/>
    </w:tmLastPosCaret>
    <w:tmLastPosAnchor>
      <w:tmLastPosPgfIdx w:val="0"/>
      <w:tmLastPosIdx w:val="0"/>
    </w:tmLastPosAnchor>
    <w:tmLastPosTblRect w:left="0" w:top="0" w:right="0" w:bottom="0"/>
    <w:tmAppRevision w:date="1512984321"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Balloon Text"/>
    <w:qFormat/>
    <w:basedOn w:val=""/>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Normal (Web)"/>
    <w:qFormat/>
    <w:basedOn w:val=""/>
    <w:pPr>
      <w:spacing w:before="100" w:after="100" w:beforeAutospacing="1" w:afterAutospacing="1"/>
      <w:jc w:val="left"/>
      <w:widowControl/>
    </w:pPr>
    <w:rPr>
      <w:rFonts w:ascii="宋体" w:hAnsi="宋体" w:cs="宋体"/>
      <w:sz w:val="24"/>
    </w:rPr>
  </w:style>
  <w:style w:type="paragraph" w:styleId="">
    <w:name w:val="Body Text"/>
    <w:qFormat/>
    <w:basedOn w:val=""/>
    <w:rPr>
      <w:rFonts w:ascii="仿宋_GB2312" w:hAnsi="仿宋_GB2312" w:eastAsia="仿宋_GB2312"/>
      <w:sz w:val="32"/>
    </w:rPr>
  </w:style>
  <w:style w:type="paragraph" w:styleId="">
    <w:name w:val="Plain Text"/>
    <w:qFormat/>
    <w:basedOn w:val=""/>
    <w:rPr>
      <w:rFonts w:ascii="宋体" w:hAnsi="宋体"/>
      <w:szCs w:val="20"/>
    </w:rPr>
  </w:style>
  <w:style w:type="character" w:styleId="" w:default="1">
    <w:name w:val="Default Paragraph Font"/>
    <w:rPr>
      <w:kern w:val="0"/>
      <w:sz w:val="20"/>
      <w:szCs w:val="20"/>
    </w:rPr>
  </w:style>
  <w:style w:type="character" w:styleId="">
    <w:name w:val="Page Number"/>
    <w:basedOn w:val=""/>
  </w:style>
  <w:style w:type="character" w:styleId="">
    <w:name w:val="Hyperlink"/>
    <w:rPr>
      <w:color w:val="0000ff"/>
      <w:kern w:val="0"/>
      <w:sz w:val="20"/>
      <w:szCs w:val="20"/>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Balloon Text"/>
    <w:qFormat/>
    <w:basedOn w:val=""/>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Normal (Web)"/>
    <w:qFormat/>
    <w:basedOn w:val=""/>
    <w:pPr>
      <w:spacing w:before="100" w:after="100" w:beforeAutospacing="1" w:afterAutospacing="1"/>
      <w:jc w:val="left"/>
      <w:widowControl/>
    </w:pPr>
    <w:rPr>
      <w:rFonts w:ascii="宋体" w:hAnsi="宋体" w:cs="宋体"/>
      <w:sz w:val="24"/>
    </w:rPr>
  </w:style>
  <w:style w:type="paragraph" w:styleId="">
    <w:name w:val="Body Text"/>
    <w:qFormat/>
    <w:basedOn w:val=""/>
    <w:rPr>
      <w:rFonts w:ascii="仿宋_GB2312" w:hAnsi="仿宋_GB2312" w:eastAsia="仿宋_GB2312"/>
      <w:sz w:val="32"/>
    </w:rPr>
  </w:style>
  <w:style w:type="paragraph" w:styleId="">
    <w:name w:val="Plain Text"/>
    <w:qFormat/>
    <w:basedOn w:val=""/>
    <w:rPr>
      <w:rFonts w:ascii="宋体" w:hAnsi="宋体"/>
      <w:szCs w:val="20"/>
    </w:rPr>
  </w:style>
  <w:style w:type="character" w:styleId="" w:default="1">
    <w:name w:val="Default Paragraph Font"/>
    <w:rPr>
      <w:kern w:val="0"/>
      <w:sz w:val="20"/>
      <w:szCs w:val="20"/>
    </w:rPr>
  </w:style>
  <w:style w:type="character" w:styleId="">
    <w:name w:val="Page Number"/>
    <w:basedOn w:val=""/>
  </w:style>
  <w:style w:type="character" w:styleId="">
    <w:name w:val="Hyperlink"/>
    <w:rPr>
      <w:color w:val="0000ff"/>
      <w:kern w:val="0"/>
      <w:sz w:val="20"/>
      <w:szCs w:val="20"/>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baike.baidu.com/subview/2581421/2581421.htm" TargetMode="External"/><Relationship Id="rId9" Type="http://schemas.openxmlformats.org/officeDocument/2006/relationships/hyperlink" Target="http://baike.baidu.com/view/2636053.htm" TargetMode="External"/><Relationship Id="rId10" Type="http://schemas.openxmlformats.org/officeDocument/2006/relationships/hyperlink" Target="http://baike.baidu.com/subview/1225289/1225289.htm" TargetMode="External"/><Relationship Id="rId11" Type="http://schemas.openxmlformats.org/officeDocument/2006/relationships/hyperlink" Target="http://baike.baidu.com/subview/4857679/4857893.htm" TargetMode="External"/><Relationship Id="rId12" Type="http://schemas.openxmlformats.org/officeDocument/2006/relationships/header" Target="header1.xm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转发《浙江省建筑业类企业监督检查</dc:title>
  <dc:subject/>
  <dc:creator>Lenovo User</dc:creator>
  <cp:keywords/>
  <dc:description/>
  <cp:lastModifiedBy/>
  <cp:revision>2</cp:revision>
  <cp:lastPrinted>2013-11-04T02:32:00Z</cp:lastPrinted>
  <dcterms:created xsi:type="dcterms:W3CDTF">2017-12-11T01:21:00Z</dcterms:created>
  <dcterms:modified xsi:type="dcterms:W3CDTF">2017-12-11T17:25:21Z</dcterms:modified>
</cp:coreProperties>
</file>